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AF9F36" w14:textId="7C7BCDA1" w:rsidR="0075176E" w:rsidRDefault="0075176E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lang w:eastAsia="ru-RU"/>
        </w:rPr>
      </w:pPr>
      <w:r w:rsidRPr="00246B6D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48C92B9" wp14:editId="0FE59927">
            <wp:extent cx="2856997" cy="828726"/>
            <wp:effectExtent l="19050" t="0" r="503" b="0"/>
            <wp:docPr id="1" name="Рисунок 1" descr="C:\Documents and Settings\Никник\Рабочий стол\РА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Никник\Рабочий стол\РАН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377" cy="828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BD07A2D" w14:textId="77777777" w:rsidR="0075176E" w:rsidRDefault="0075176E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lang w:eastAsia="ru-RU"/>
        </w:rPr>
      </w:pPr>
    </w:p>
    <w:p w14:paraId="34E759E1" w14:textId="5DBE625D" w:rsidR="000F4FBD" w:rsidRPr="005C07FE" w:rsidRDefault="00A514AE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lang w:eastAsia="ru-RU"/>
        </w:rPr>
      </w:pPr>
      <w:r w:rsidRPr="005C07F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lang w:eastAsia="ru-RU"/>
        </w:rPr>
        <w:t>Комиссия по борьбе с лженаукой при Экспертном совете РАН</w:t>
      </w:r>
    </w:p>
    <w:p w14:paraId="1F724A05" w14:textId="77777777" w:rsidR="0013719B" w:rsidRPr="005C07FE" w:rsidRDefault="0013719B" w:rsidP="005C07F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</w:p>
    <w:p w14:paraId="7E8E713D" w14:textId="77777777" w:rsidR="000F4FBD" w:rsidRPr="005C07FE" w:rsidRDefault="00A514A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r w:rsidRPr="005C07FE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ЗАЯВЛЕНИЕ</w:t>
      </w:r>
    </w:p>
    <w:p w14:paraId="399B1FAE" w14:textId="6ABD8C93" w:rsidR="000F4FBD" w:rsidRPr="005C07FE" w:rsidRDefault="00A514A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r w:rsidRPr="005C07FE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 xml:space="preserve">о недопустимости включения в российские клинические рекомендации </w:t>
      </w:r>
      <w:r w:rsidR="00D85613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br/>
      </w:r>
      <w:r w:rsidR="00943FD3" w:rsidRPr="005C07FE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гомеопатических препаратов, а также других</w:t>
      </w:r>
      <w:r w:rsidRPr="005C07FE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 xml:space="preserve"> препаратов, </w:t>
      </w:r>
      <w:r w:rsidR="00D85613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br/>
      </w:r>
      <w:r w:rsidRPr="005C07FE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не содержащих молекул действующих веществ</w:t>
      </w:r>
    </w:p>
    <w:p w14:paraId="0F1B2D0E" w14:textId="77777777" w:rsidR="000F4FBD" w:rsidRPr="005C07FE" w:rsidRDefault="000F4FBD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</w:p>
    <w:p w14:paraId="209C3992" w14:textId="77777777" w:rsidR="007120EF" w:rsidRPr="00CA1901" w:rsidRDefault="007120EF" w:rsidP="007120EF">
      <w:pPr>
        <w:pStyle w:val="ConsPlusNormal"/>
        <w:spacing w:after="120"/>
        <w:ind w:firstLine="709"/>
        <w:jc w:val="both"/>
        <w:rPr>
          <w:color w:val="000000" w:themeColor="text1"/>
          <w:sz w:val="27"/>
          <w:szCs w:val="27"/>
        </w:rPr>
      </w:pPr>
      <w:r w:rsidRPr="00CA1901">
        <w:rPr>
          <w:rFonts w:eastAsia="Times New Roman"/>
          <w:color w:val="000000" w:themeColor="text1"/>
          <w:sz w:val="27"/>
          <w:szCs w:val="27"/>
        </w:rPr>
        <w:t xml:space="preserve">Комиссия по борьбе с лженаукой при Экспертном совете РАН неоднократно заявляла о недопустимости использования в медицине лекарственных препаратов, не содержащих действующих веществ. </w:t>
      </w:r>
      <w:r w:rsidRPr="00CA1901">
        <w:rPr>
          <w:color w:val="000000" w:themeColor="text1"/>
          <w:sz w:val="27"/>
          <w:szCs w:val="27"/>
        </w:rPr>
        <w:t xml:space="preserve">Прежде всего, к таким препаратам относятся традиционные гомеопатические препараты, в том числе производимые ООО «НПФ Материа Медика Холдинг» якобы «инновационные препараты» (ранее называемые «релиз-активными»), при приготовлении которых используются столь высокие разведения действующих веществ, что в конечном продукте нет ни одной их молекулы. </w:t>
      </w:r>
    </w:p>
    <w:p w14:paraId="24595475" w14:textId="77777777" w:rsidR="007120EF" w:rsidRPr="00CA1901" w:rsidRDefault="007120EF" w:rsidP="007120EF">
      <w:pPr>
        <w:pStyle w:val="ConsPlusNormal"/>
        <w:spacing w:after="120"/>
        <w:ind w:firstLine="709"/>
        <w:jc w:val="both"/>
        <w:rPr>
          <w:color w:val="000000" w:themeColor="text1"/>
          <w:sz w:val="27"/>
          <w:szCs w:val="27"/>
        </w:rPr>
      </w:pPr>
      <w:r w:rsidRPr="00CA1901">
        <w:rPr>
          <w:color w:val="000000" w:themeColor="text1"/>
          <w:sz w:val="27"/>
          <w:szCs w:val="27"/>
        </w:rPr>
        <w:t xml:space="preserve">Научная несостоятельность применения таких препаратов в медицине убедительно обоснована в многочисленных отечественных и зарубежных авторитетных научных публикациях. Наиболее систематизированное развенчание этих заблуждений Комиссия по борьбе с лженаукой изложила в </w:t>
      </w:r>
      <w:r w:rsidRPr="00CA1901">
        <w:rPr>
          <w:rFonts w:eastAsia="Times New Roman"/>
          <w:color w:val="000000" w:themeColor="text1"/>
          <w:sz w:val="27"/>
          <w:szCs w:val="27"/>
        </w:rPr>
        <w:t xml:space="preserve">меморандуме «О лженаучности гомеопатии» (2017).  </w:t>
      </w:r>
      <w:r w:rsidRPr="00CA1901">
        <w:rPr>
          <w:color w:val="000000" w:themeColor="text1"/>
          <w:sz w:val="27"/>
          <w:szCs w:val="27"/>
        </w:rPr>
        <w:t xml:space="preserve"> </w:t>
      </w:r>
    </w:p>
    <w:p w14:paraId="1209CBBF" w14:textId="77777777" w:rsidR="007120EF" w:rsidRPr="00CA1901" w:rsidRDefault="00E24C9A" w:rsidP="007120EF">
      <w:pPr>
        <w:pStyle w:val="af6"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Несмотря на очевидную несостоятельность медицинского применения препаратов, не содержащих молекул действующих веществ, </w:t>
      </w:r>
      <w:r w:rsidR="000D58FA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и отсутствие убедительно доказанной</w:t>
      </w: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эффективности этих препаратов, 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они оказались включены в ряд клинических рекомендаций государственной системы здравоохранения России</w:t>
      </w:r>
      <w:r w:rsidR="007120EF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. </w:t>
      </w:r>
    </w:p>
    <w:p w14:paraId="1CDA1D8E" w14:textId="77777777" w:rsidR="007120EF" w:rsidRPr="00CA1901" w:rsidRDefault="007120EF" w:rsidP="007120EF">
      <w:pPr>
        <w:pStyle w:val="af6"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E24C9A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Нет оправдания включению</w:t>
      </w:r>
      <w:r w:rsidR="00E24C9A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E24C9A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средств</w:t>
      </w:r>
      <w:r w:rsidR="00E24C9A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, способность которых значимо влиять на живой организм заведомо противоречит</w:t>
      </w:r>
      <w:r w:rsidR="00E24C9A" w:rsidRPr="00CA1901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фундаментальным законам физики и химии,</w:t>
      </w:r>
      <w:r w:rsidR="00E24C9A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в документы, являющиеся регуляторными для врачей и медицинских организаций</w:t>
      </w:r>
      <w:r w:rsidR="00E24C9A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. Такие документы не только могут</w:t>
      </w:r>
      <w:r w:rsidR="00E24C9A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нанести вред</w:t>
      </w:r>
      <w:r w:rsidR="00E24C9A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здоровью граждан, но и подрываю</w:t>
      </w:r>
      <w:r w:rsidR="00E24C9A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т дове</w:t>
      </w:r>
      <w:r w:rsidR="00E24C9A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рие к клиническим рекомендациям</w:t>
      </w:r>
      <w:r w:rsidR="00E24C9A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и системе здравоохранения в целом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.</w:t>
      </w:r>
    </w:p>
    <w:p w14:paraId="76AC88C7" w14:textId="7BE90635" w:rsidR="007120EF" w:rsidRPr="00CA1901" w:rsidRDefault="00D807BF" w:rsidP="007120EF">
      <w:pPr>
        <w:pStyle w:val="af6"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В</w:t>
      </w:r>
      <w:r w:rsidR="007120EF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нимани</w:t>
      </w: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е</w:t>
      </w:r>
      <w:r w:rsidR="007120EF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, которое Комиссия уделяет обсуждаемому вопросу, также связан</w:t>
      </w: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о</w:t>
      </w:r>
      <w:r w:rsidR="007120EF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с тем, что клинические рекомендации учитываются при формировании программы государственных гарантий бесплатного оказания гражданам медицинской помощи.  </w:t>
      </w:r>
    </w:p>
    <w:p w14:paraId="54084356" w14:textId="77777777" w:rsidR="00E3634E" w:rsidRPr="005C07FE" w:rsidRDefault="007120EF" w:rsidP="007120EF">
      <w:pPr>
        <w:pStyle w:val="af6"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В связи с вышеизложенным Комиссия по борьбе с лженаукой при Экспертном совете РАН, заявляет:</w:t>
      </w:r>
    </w:p>
    <w:p w14:paraId="5C0C1C9F" w14:textId="71910990" w:rsidR="007120EF" w:rsidRPr="00CA1901" w:rsidRDefault="007120EF" w:rsidP="007120EF">
      <w:pPr>
        <w:pStyle w:val="af6"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lastRenderedPageBreak/>
        <w:t xml:space="preserve">1. Мы считаем недопустимым включение, в том числе замаскированное, препаратов, не содержащих молекул действующих веществ, </w:t>
      </w:r>
      <w:r w:rsidR="00DE60C4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в </w:t>
      </w:r>
      <w:r w:rsidR="00DE60C4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государственные </w:t>
      </w:r>
      <w:r w:rsidR="00DE60C4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клинические рекомендации</w:t>
      </w:r>
      <w:r w:rsidR="00DE60C4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.</w:t>
      </w:r>
      <w:r w:rsidR="00DE60C4"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DE60C4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Такими препаратами 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являются многие гомеопатические средства, включая якобы «инновационные препараты» (ранее называемые «релиз-активны</w:t>
      </w:r>
      <w:r w:rsidR="00D807BF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ми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»), искусственно выведенные из категории гомеопатических. </w:t>
      </w:r>
    </w:p>
    <w:p w14:paraId="57B2EC8E" w14:textId="441AA784" w:rsidR="007120EF" w:rsidRPr="00CA1901" w:rsidRDefault="007120EF" w:rsidP="007120EF">
      <w:pPr>
        <w:pStyle w:val="af6"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2. Учитывая, что в ряд одобренных Научно-практическим </w:t>
      </w:r>
      <w:r w:rsidR="00D807BF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с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оветом Минздрава России клинических рекомендаций включены гомеопатические (в том числе якобы «инновационные») препараты, мы призываем Научно-практический </w:t>
      </w:r>
      <w:r w:rsidR="00D807BF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с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овет Минздрава России отозвать одобрение клинических рекомендаций «Острая респираторно-вирусная инфекция (ОРВИ) у взрослых» (одобрены НПС МЗ РФ в 2021 г.), «Синдром раздраженного кишечника» (одобрены НПС МЗ РФ в 2021 и 2024 гг.), «Острый синусит» (одобрены НПС МЗ РФ в 2021 и 2024 гг.) и внести в них изменения, исключающие указание на применение следующих препаратов: «Эргоферон (антитела к гамма-интерферону аффинно очищенные)»; «Колофорт»; «</w:t>
      </w:r>
      <w:r w:rsidRPr="00CA1901">
        <w:rPr>
          <w:rFonts w:ascii="Times New Roman" w:hAnsi="Times New Roman" w:cs="Times New Roman"/>
          <w:color w:val="000000" w:themeColor="text1"/>
          <w:sz w:val="27"/>
          <w:szCs w:val="27"/>
        </w:rPr>
        <w:t>гомеопатический препарат с доказанным модулирующим действием на медиаторы воспаления без подавления ЦОГ2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». </w:t>
      </w:r>
    </w:p>
    <w:p w14:paraId="0629F9E7" w14:textId="0E8E0920" w:rsidR="007120EF" w:rsidRPr="00CA1901" w:rsidRDefault="007120EF" w:rsidP="007120EF">
      <w:pPr>
        <w:pStyle w:val="af6"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3. Мы призываем Научно-практический </w:t>
      </w:r>
      <w:r w:rsidR="00D807BF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с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овет Минздрава России и его учредителя – Министерство здравоохранения Российской Федерации усилить контроль над созданием проектов и утверждением российских клинических рекомендаций, не допуская впредь включения в них гомеопатических, (в том числе якобы «инновационных») и иных препаратов, для которых чувствительность современных физико-химических методов анализа не позволяет оценить количественное содержание их действующих веществ.</w:t>
      </w:r>
    </w:p>
    <w:p w14:paraId="1364BF21" w14:textId="77777777" w:rsidR="007120EF" w:rsidRPr="00CA1901" w:rsidRDefault="007120EF" w:rsidP="007120EF">
      <w:pPr>
        <w:pStyle w:val="af6"/>
        <w:spacing w:after="120"/>
        <w:ind w:firstLine="709"/>
        <w:jc w:val="both"/>
        <w:rPr>
          <w:rStyle w:val="fontstyle01"/>
          <w:rFonts w:ascii="Times New Roman" w:hAnsi="Times New Roman" w:cs="Times New Roman"/>
          <w:color w:val="000000" w:themeColor="text1"/>
          <w:sz w:val="27"/>
          <w:szCs w:val="27"/>
        </w:rPr>
      </w:pPr>
      <w:r w:rsidRPr="00CA1901">
        <w:rPr>
          <w:rStyle w:val="fontstyle01"/>
          <w:rFonts w:ascii="Times New Roman" w:hAnsi="Times New Roman" w:cs="Times New Roman"/>
          <w:color w:val="000000" w:themeColor="text1"/>
          <w:sz w:val="27"/>
          <w:szCs w:val="27"/>
        </w:rPr>
        <w:t>4. Мы призываем Федеральную службу по надзору в сфере здравоохранения, Министерство здравоохранения Российской Федерации и другие федеральные органы исполнительной власти, уполномоченные на то Правительством Российской Федерации</w:t>
      </w:r>
      <w:r w:rsidR="00720D08">
        <w:rPr>
          <w:rStyle w:val="fontstyle01"/>
          <w:rFonts w:ascii="Times New Roman" w:hAnsi="Times New Roman" w:cs="Times New Roman"/>
          <w:color w:val="000000" w:themeColor="text1"/>
          <w:sz w:val="27"/>
          <w:szCs w:val="27"/>
        </w:rPr>
        <w:t>,</w:t>
      </w:r>
      <w:r w:rsidRPr="00CA1901">
        <w:rPr>
          <w:rStyle w:val="fontstyle01"/>
          <w:rFonts w:ascii="Times New Roman" w:hAnsi="Times New Roman" w:cs="Times New Roman"/>
          <w:color w:val="000000" w:themeColor="text1"/>
          <w:sz w:val="27"/>
          <w:szCs w:val="27"/>
        </w:rPr>
        <w:t xml:space="preserve"> вернуть якобы «инновационным» (ранее «релиз-активным») препаратам фирмы «НПФ Материа Медика Холдинг» исходный статус гомеопатических.</w:t>
      </w:r>
    </w:p>
    <w:p w14:paraId="1B050EE9" w14:textId="77777777" w:rsidR="007120EF" w:rsidRPr="00CA1901" w:rsidRDefault="007120EF" w:rsidP="007120EF">
      <w:pPr>
        <w:pStyle w:val="af6"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Краткое научное об</w:t>
      </w:r>
      <w:r w:rsidR="00E308A7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основание своей позиции,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конкретные примеры включения в российские клинические рекомендации </w:t>
      </w:r>
      <w:r w:rsidRPr="00CA1901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гомеопатических препаратов (включая якобы «инновационные препараты») не содержащих в своем составе действующих веществ, </w:t>
      </w:r>
      <w:r w:rsidR="00E308A7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а также дополнительные рекомендации </w:t>
      </w:r>
      <w:r w:rsidRPr="00CA1901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Комиссия приводит в Приложении к настоящему Заявлению.</w:t>
      </w:r>
    </w:p>
    <w:p w14:paraId="2C19C3C8" w14:textId="77777777" w:rsidR="000F4FBD" w:rsidRPr="005C07FE" w:rsidRDefault="000F4FBD" w:rsidP="007120EF">
      <w:pPr>
        <w:pStyle w:val="af6"/>
        <w:spacing w:after="120"/>
        <w:ind w:firstLine="709"/>
        <w:jc w:val="both"/>
        <w:rPr>
          <w:rStyle w:val="fontstyle01"/>
          <w:rFonts w:ascii="Times New Roman" w:hAnsi="Times New Roman" w:cs="Times New Roman"/>
          <w:color w:val="000000" w:themeColor="text1"/>
          <w:sz w:val="27"/>
          <w:szCs w:val="27"/>
        </w:rPr>
      </w:pPr>
    </w:p>
    <w:p w14:paraId="73789FE7" w14:textId="77777777" w:rsidR="000F4FBD" w:rsidRPr="005C07FE" w:rsidRDefault="000F4FBD">
      <w:pPr>
        <w:pStyle w:val="af6"/>
        <w:spacing w:after="120"/>
        <w:ind w:firstLine="709"/>
        <w:jc w:val="both"/>
        <w:rPr>
          <w:rStyle w:val="fontstyle01"/>
          <w:rFonts w:ascii="Times New Roman" w:hAnsi="Times New Roman" w:cs="Times New Roman"/>
          <w:color w:val="000000" w:themeColor="text1"/>
          <w:sz w:val="27"/>
          <w:szCs w:val="27"/>
        </w:rPr>
      </w:pPr>
    </w:p>
    <w:p w14:paraId="759B4F5C" w14:textId="77777777" w:rsidR="005C07FE" w:rsidRPr="005C07FE" w:rsidRDefault="005C07FE" w:rsidP="00F55B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</w:p>
    <w:p w14:paraId="624072BB" w14:textId="77777777" w:rsidR="00F55B2B" w:rsidRPr="005C07FE" w:rsidRDefault="00F55B2B" w:rsidP="00F55B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5C07F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Председатель Комиссии по борьбе с лженаукой </w:t>
      </w:r>
    </w:p>
    <w:p w14:paraId="5D7E68F1" w14:textId="6FE5E205" w:rsidR="00F55B2B" w:rsidRPr="005C07FE" w:rsidRDefault="00F55B2B" w:rsidP="00F55B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5C07F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при Экспертном совете Российской </w:t>
      </w:r>
      <w:r w:rsidR="00A80162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а</w:t>
      </w:r>
      <w:r w:rsidRPr="005C07F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кадемии наук, </w:t>
      </w:r>
    </w:p>
    <w:p w14:paraId="558CCCCD" w14:textId="5ACBB331" w:rsidR="00F55B2B" w:rsidRPr="005C07FE" w:rsidRDefault="00F55B2B" w:rsidP="00F55B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5C07F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академик                                                                                   </w:t>
      </w:r>
      <w:r w:rsidRPr="00A80162">
        <w:rPr>
          <w:rFonts w:ascii="Times New Roman" w:eastAsia="Times New Roman" w:hAnsi="Times New Roman" w:cs="Times New Roman"/>
          <w:i/>
          <w:iCs/>
          <w:color w:val="000000" w:themeColor="text1"/>
          <w:sz w:val="27"/>
          <w:szCs w:val="27"/>
          <w:lang w:eastAsia="ru-RU"/>
        </w:rPr>
        <w:t>Е.Б. Александров</w:t>
      </w:r>
      <w:r w:rsidRPr="005C07F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</w:t>
      </w:r>
    </w:p>
    <w:p w14:paraId="1599B9DB" w14:textId="77777777" w:rsidR="00E3634E" w:rsidRPr="005C07FE" w:rsidRDefault="00E3634E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</w:pPr>
    </w:p>
    <w:p w14:paraId="07E7D07D" w14:textId="77777777" w:rsidR="007406CA" w:rsidRDefault="00682D42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5</w:t>
      </w:r>
      <w:r w:rsidR="00F55B2B" w:rsidRPr="005C07F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февраля 2025 года, г. Москва</w:t>
      </w:r>
    </w:p>
    <w:p w14:paraId="457BB0D1" w14:textId="40489037" w:rsidR="0075176E" w:rsidRDefault="007406CA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Публикация одобрена 14 мая 2025</w:t>
      </w:r>
      <w:r w:rsidR="00F55B2B" w:rsidRPr="005C07F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</w:t>
      </w:r>
      <w:r w:rsidR="00922FBD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года</w:t>
      </w:r>
    </w:p>
    <w:p w14:paraId="3A346264" w14:textId="0FE48551" w:rsidR="00507ADA" w:rsidRDefault="0075176E" w:rsidP="0075176E">
      <w:pPr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br w:type="page"/>
      </w:r>
      <w:r w:rsidRPr="00246B6D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0139AE71" wp14:editId="1CE5DFDF">
            <wp:extent cx="2856997" cy="828726"/>
            <wp:effectExtent l="19050" t="0" r="503" b="0"/>
            <wp:docPr id="2" name="Рисунок 2" descr="C:\Documents and Settings\Никник\Рабочий стол\РА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Никник\Рабочий стол\РАН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377" cy="828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08954AA" w14:textId="77777777" w:rsidR="00507ADA" w:rsidRDefault="00507ADA" w:rsidP="00E3634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</w:pPr>
    </w:p>
    <w:p w14:paraId="7F81A5D7" w14:textId="77777777" w:rsidR="00E3634E" w:rsidRPr="00367DA3" w:rsidRDefault="00E3634E" w:rsidP="007517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</w:pPr>
      <w:r w:rsidRPr="00367DA3"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  <w:t>Приложение</w:t>
      </w:r>
    </w:p>
    <w:p w14:paraId="2BC43021" w14:textId="45B9B882" w:rsidR="00E3634E" w:rsidRPr="00367DA3" w:rsidRDefault="00E3634E" w:rsidP="007517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</w:pPr>
      <w:r w:rsidRPr="00367DA3"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  <w:t xml:space="preserve">к Заявлению комиссии по борьбе с лженаукой при Экспертном совете РАН </w:t>
      </w:r>
      <w:r w:rsidR="0054579A"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  <w:br/>
      </w:r>
      <w:r w:rsidRPr="00367DA3"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  <w:t xml:space="preserve">о недопустимости включения в российские клинические рекомендации </w:t>
      </w:r>
      <w:r w:rsidR="0054579A"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  <w:br/>
      </w:r>
      <w:r w:rsidR="00367DA3" w:rsidRPr="00367DA3"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  <w:t xml:space="preserve">гомеопатических препаратов, а также других препаратов, </w:t>
      </w:r>
      <w:r w:rsidR="0054579A"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  <w:br/>
      </w:r>
      <w:r w:rsidR="00367DA3" w:rsidRPr="00367DA3">
        <w:rPr>
          <w:rFonts w:ascii="Times New Roman" w:eastAsia="Times New Roman" w:hAnsi="Times New Roman" w:cs="Times New Roman"/>
          <w:b/>
          <w:i/>
          <w:color w:val="000000" w:themeColor="text1"/>
          <w:sz w:val="27"/>
          <w:szCs w:val="27"/>
          <w:lang w:eastAsia="ru-RU"/>
        </w:rPr>
        <w:t>не содержащих молекул действующих веществ</w:t>
      </w:r>
    </w:p>
    <w:p w14:paraId="207721C1" w14:textId="77777777" w:rsidR="00306D13" w:rsidRPr="00367DA3" w:rsidRDefault="00306D13" w:rsidP="0075176E">
      <w:pPr>
        <w:pStyle w:val="af6"/>
        <w:widowControl/>
        <w:spacing w:after="120"/>
        <w:jc w:val="both"/>
        <w:rPr>
          <w:rFonts w:ascii="Times New Roman" w:eastAsia="Times New Roman" w:hAnsi="Times New Roman" w:cs="Times New Roman"/>
          <w:color w:val="FF0000"/>
          <w:sz w:val="27"/>
          <w:szCs w:val="27"/>
        </w:rPr>
      </w:pPr>
    </w:p>
    <w:p w14:paraId="1556B2B2" w14:textId="77777777" w:rsidR="00DB4CAE" w:rsidRPr="00DB4CAE" w:rsidRDefault="00DB4CAE" w:rsidP="0075176E">
      <w:pPr>
        <w:spacing w:after="12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Основополагающим документом, регламентирующим обращение лекарственных препаратов и лекарственных средств в Российской федерации, является 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Федеральный закон «Об обращении лекарственных средств»</w:t>
      </w:r>
      <w:r w:rsidRPr="00DB4CAE">
        <w:rPr>
          <w:rStyle w:val="af8"/>
          <w:rFonts w:ascii="Times New Roman" w:hAnsi="Times New Roman" w:cs="Times New Roman"/>
          <w:color w:val="000000" w:themeColor="text1"/>
          <w:sz w:val="24"/>
          <w:szCs w:val="24"/>
        </w:rPr>
        <w:footnoteReference w:id="1"/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>. В статье 4 этого закона даны определения основных понятий, в частности того, что является лекарственными средствами и лекарственными препаратами:</w:t>
      </w:r>
    </w:p>
    <w:p w14:paraId="3A121860" w14:textId="3B4B9A2C" w:rsidR="00DB4CAE" w:rsidRPr="00DB4CAE" w:rsidRDefault="00DB4CAE" w:rsidP="0075176E">
      <w:pPr>
        <w:pStyle w:val="ConsPlusNormal"/>
        <w:widowControl/>
        <w:spacing w:after="120"/>
        <w:ind w:left="993" w:hanging="284"/>
        <w:jc w:val="both"/>
        <w:rPr>
          <w:i/>
          <w:color w:val="000000" w:themeColor="text1"/>
        </w:rPr>
      </w:pPr>
      <w:r w:rsidRPr="00DB4CAE">
        <w:rPr>
          <w:i/>
          <w:color w:val="000000" w:themeColor="text1"/>
        </w:rPr>
        <w:t>1)</w:t>
      </w:r>
      <w:r w:rsidR="00016577">
        <w:rPr>
          <w:i/>
          <w:color w:val="000000" w:themeColor="text1"/>
        </w:rPr>
        <w:tab/>
      </w:r>
      <w:r w:rsidRPr="00DB4CAE">
        <w:rPr>
          <w:i/>
          <w:color w:val="000000" w:themeColor="text1"/>
        </w:rPr>
        <w:t xml:space="preserve">«лекарственные средства </w:t>
      </w:r>
      <w:r w:rsidR="00D807BF">
        <w:rPr>
          <w:i/>
          <w:color w:val="000000" w:themeColor="text1"/>
        </w:rPr>
        <w:t>—</w:t>
      </w:r>
      <w:r w:rsidRPr="00DB4CAE">
        <w:rPr>
          <w:i/>
          <w:color w:val="000000" w:themeColor="text1"/>
        </w:rPr>
        <w:t xml:space="preserve"> вещества или их комбинации, вступающие в контакт с организмом человека или животного, проникающие в органы, ткани организма человека или животного, применяемые для профилактики, диагностики (за исключением веществ или их комбинаций, не контактирующих с организмом человека или животного), лечения заболевания, реабилитации, для сохранения, предотвращения или прерывания беременности и полученные из крови, плазмы крови, из органов, тканей организма человека или животного, растений, минералов методами синтеза или с применением биологических технологий. К лекарственным средствам относятся фармацевтические субстанции и лекарственные препараты. (…)</w:t>
      </w:r>
    </w:p>
    <w:p w14:paraId="633E002D" w14:textId="5E665F40" w:rsidR="00DB4CAE" w:rsidRPr="00DB4CAE" w:rsidRDefault="00DB4CAE" w:rsidP="0075176E">
      <w:pPr>
        <w:pStyle w:val="ConsPlusNormal"/>
        <w:widowControl/>
        <w:spacing w:after="120"/>
        <w:ind w:left="993" w:hanging="284"/>
        <w:jc w:val="both"/>
        <w:rPr>
          <w:i/>
          <w:color w:val="000000" w:themeColor="text1"/>
        </w:rPr>
      </w:pPr>
      <w:r w:rsidRPr="00DB4CAE">
        <w:rPr>
          <w:i/>
          <w:color w:val="000000" w:themeColor="text1"/>
        </w:rPr>
        <w:t>4)</w:t>
      </w:r>
      <w:r w:rsidR="00016577">
        <w:rPr>
          <w:i/>
          <w:color w:val="000000" w:themeColor="text1"/>
        </w:rPr>
        <w:tab/>
      </w:r>
      <w:r w:rsidRPr="00DB4CAE">
        <w:rPr>
          <w:i/>
          <w:color w:val="000000" w:themeColor="text1"/>
        </w:rPr>
        <w:t xml:space="preserve">лекарственные препараты </w:t>
      </w:r>
      <w:r w:rsidR="00D807BF">
        <w:rPr>
          <w:i/>
          <w:color w:val="000000" w:themeColor="text1"/>
        </w:rPr>
        <w:t>—</w:t>
      </w:r>
      <w:r w:rsidRPr="00DB4CAE">
        <w:rPr>
          <w:i/>
          <w:color w:val="000000" w:themeColor="text1"/>
        </w:rPr>
        <w:t xml:space="preserve"> лекарственные средства в виде лекарственных форм, применяемые для профилактики, диагностики, лечения заболевания, реабилитации, для сохранения, предотвращения или прерывания беременности».</w:t>
      </w:r>
    </w:p>
    <w:p w14:paraId="5C99AE5D" w14:textId="4627A43B" w:rsidR="00DB4CAE" w:rsidRPr="00DB4CAE" w:rsidRDefault="00DB4CAE" w:rsidP="0075176E">
      <w:pPr>
        <w:pStyle w:val="ConsPlusNormal"/>
        <w:widowControl/>
        <w:spacing w:after="120"/>
        <w:ind w:firstLine="709"/>
        <w:jc w:val="both"/>
        <w:rPr>
          <w:color w:val="000000" w:themeColor="text1"/>
        </w:rPr>
      </w:pPr>
      <w:r w:rsidRPr="00DB4CAE">
        <w:rPr>
          <w:color w:val="000000" w:themeColor="text1"/>
        </w:rPr>
        <w:t xml:space="preserve">Сущностью этих понятий является «вещество». Как известно, </w:t>
      </w:r>
      <w:r w:rsidRPr="00DB4CAE">
        <w:rPr>
          <w:rStyle w:val="af5"/>
          <w:bCs/>
          <w:i w:val="0"/>
          <w:iCs w:val="0"/>
          <w:color w:val="000000" w:themeColor="text1"/>
          <w:shd w:val="clear" w:color="auto" w:fill="FFFFFF"/>
        </w:rPr>
        <w:t>наименьшей частицей (единицей) вещества, в которой сохраняются его химические свойства, является молекула</w:t>
      </w:r>
      <w:r w:rsidRPr="00DB4CAE">
        <w:rPr>
          <w:rStyle w:val="af8"/>
          <w:bCs/>
          <w:color w:val="000000" w:themeColor="text1"/>
          <w:shd w:val="clear" w:color="auto" w:fill="FFFFFF"/>
        </w:rPr>
        <w:footnoteReference w:id="2"/>
      </w:r>
      <w:r w:rsidRPr="00DB4CAE">
        <w:rPr>
          <w:color w:val="000000" w:themeColor="text1"/>
          <w:shd w:val="clear" w:color="auto" w:fill="FFFFFF"/>
        </w:rPr>
        <w:t>.</w:t>
      </w:r>
      <w:r w:rsidRPr="00DB4CAE">
        <w:rPr>
          <w:color w:val="000000" w:themeColor="text1"/>
        </w:rPr>
        <w:t xml:space="preserve"> Поэтому понятно, что если в препарате нет молекул действующих веществ, то он не является лекарственным и заведомо не может обладать фармакологической активностью. Тем не менее, как альтернативная медицина, так и государственная система здравоохранения России продолжают использовать препараты, не содержащие молекул действующих веществ, отрицая</w:t>
      </w:r>
      <w:r w:rsidR="00202681">
        <w:rPr>
          <w:color w:val="000000" w:themeColor="text1"/>
        </w:rPr>
        <w:t>,</w:t>
      </w:r>
      <w:r w:rsidRPr="00DB4CAE">
        <w:rPr>
          <w:color w:val="000000" w:themeColor="text1"/>
        </w:rPr>
        <w:t xml:space="preserve"> либо игнорируя тот факт, что их «действие» нарушает фундаментальные принципы и закон</w:t>
      </w:r>
      <w:r w:rsidR="00D807BF">
        <w:rPr>
          <w:color w:val="000000" w:themeColor="text1"/>
        </w:rPr>
        <w:t>ы</w:t>
      </w:r>
      <w:r w:rsidRPr="00DB4CAE">
        <w:rPr>
          <w:color w:val="000000" w:themeColor="text1"/>
        </w:rPr>
        <w:t xml:space="preserve"> естествознания. </w:t>
      </w:r>
    </w:p>
    <w:p w14:paraId="0EC314D5" w14:textId="77777777" w:rsidR="00DB4CAE" w:rsidRPr="00DB4CAE" w:rsidRDefault="00DB4CAE" w:rsidP="0075176E">
      <w:pPr>
        <w:pStyle w:val="ConsPlusNormal"/>
        <w:widowControl/>
        <w:spacing w:after="120"/>
        <w:ind w:firstLine="709"/>
        <w:jc w:val="both"/>
        <w:rPr>
          <w:color w:val="000000" w:themeColor="text1"/>
        </w:rPr>
      </w:pPr>
      <w:r w:rsidRPr="00DB4CAE">
        <w:rPr>
          <w:color w:val="000000" w:themeColor="text1"/>
        </w:rPr>
        <w:t>Прежде всего, к таким препаратам относятся гомеопатические, при приготовлении которых используются столь сверхвысокие разведения действующих веществ, что в конечном продукте нет ни одной их молекулы. Очевидно, что, их не следует вводить в систему государственного здравоохранения.</w:t>
      </w:r>
    </w:p>
    <w:p w14:paraId="6D02EA32" w14:textId="77777777" w:rsidR="00DB4CAE" w:rsidRPr="00DB4CAE" w:rsidRDefault="00DB4CAE" w:rsidP="0075176E">
      <w:pPr>
        <w:pStyle w:val="ConsPlusNormal"/>
        <w:widowControl/>
        <w:spacing w:after="120"/>
        <w:ind w:firstLine="709"/>
        <w:jc w:val="both"/>
        <w:rPr>
          <w:color w:val="000000" w:themeColor="text1"/>
        </w:rPr>
      </w:pPr>
      <w:r w:rsidRPr="00DB4CAE">
        <w:rPr>
          <w:color w:val="000000" w:themeColor="text1"/>
        </w:rPr>
        <w:lastRenderedPageBreak/>
        <w:t xml:space="preserve">Отдельно следует выделить якобы «инновационные препараты» отечественного ООО «НПФ Материа Медика Холдинг» (ранее называемые производителем «релиз-активные»). Их «инновационность» заключается в том, что в качестве фармацевтической субстанции используют кроличьи поликлональные антитела к молекулам различных эндогенных регуляторов человека, которые при приготовлении препаратов изготовляют в виде смеси в сверхвысоких гомеопатических разведениях. Эти разведения столь высоки, что в конечных продуктах молекул исходных антител не остается. Принципиальную несовместимость этой концепции с фундаментальными законами физики и химии об атомно-молекулярной структуре веществ и их растворов </w:t>
      </w:r>
      <w:r w:rsidRPr="005E2B64">
        <w:rPr>
          <w:color w:val="000000" w:themeColor="text1"/>
        </w:rPr>
        <w:t>показали Хромов-Борисов и Александров в статье в «Вестнике РАН» (2022).</w:t>
      </w:r>
    </w:p>
    <w:p w14:paraId="23DF708F" w14:textId="726BAE12" w:rsidR="00306D13" w:rsidRPr="00DB4CAE" w:rsidRDefault="00E3634E" w:rsidP="0075176E">
      <w:pPr>
        <w:pStyle w:val="af6"/>
        <w:widowControl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Fonts w:ascii="Times New Roman" w:eastAsia="Times New Roman" w:hAnsi="Times New Roman" w:cs="Times New Roman"/>
          <w:color w:val="auto"/>
          <w:sz w:val="24"/>
          <w:szCs w:val="24"/>
        </w:rPr>
        <w:t>Тем не менее, такие препараты фигурируют в утвержденных клинических</w:t>
      </w:r>
      <w:r w:rsidR="00306D13" w:rsidRPr="00DB4CA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рекомендациях</w:t>
      </w:r>
      <w:r w:rsidR="00306D13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государственной системы здравоохранения России. </w:t>
      </w:r>
      <w:r w:rsidR="00384321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Важно отметить, что при существующей дискуссии о нормативном статусе этих документов, позиция Верховного Суда</w:t>
      </w:r>
      <w:r w:rsidR="004A3056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России</w:t>
      </w:r>
      <w:r w:rsidR="00384321" w:rsidRPr="00DB4CAE">
        <w:rPr>
          <w:rStyle w:val="af8"/>
          <w:rFonts w:ascii="Times New Roman" w:eastAsia="Times New Roman" w:hAnsi="Times New Roman" w:cs="Times New Roman"/>
          <w:color w:val="000000" w:themeColor="text1"/>
          <w:sz w:val="24"/>
          <w:szCs w:val="24"/>
        </w:rPr>
        <w:footnoteReference w:id="3"/>
      </w:r>
      <w:r w:rsidR="00384321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свидетельствует об обязательности их применения. </w:t>
      </w:r>
      <w:r w:rsidR="00CF12A3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По мнению судебной коллегии ВС РФ, заключения о необязательности клинических рекомендаций противоречат закону, поскольку они являются одной из основ формирования критериев оценки качества медицинской помощи (ч. 2 ст. 64 Федерального закона от 21.11.2011 №323-ФЗ «Об основах охраны здоровья граждан в РФ»), </w:t>
      </w:r>
      <w:r w:rsidR="00DB4CAE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 несоблюдение клинических рекомендаций является фактом оказания медицинской помощи (медицинских услуг) ненадлежащего качества. Коллегия ВС РФ подч</w:t>
      </w:r>
      <w:r w:rsidR="00E262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</w:t>
      </w:r>
      <w:r w:rsidR="00DB4CAE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ркивает, что медицинские организации не могут игнорировать клинические рекомендации при принятии решений о лечении пациентов</w:t>
      </w:r>
      <w:r w:rsidR="00CF12A3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4DEDE31C" w14:textId="6D1E25EA" w:rsidR="00DB4CAE" w:rsidRPr="00DB4CAE" w:rsidRDefault="00DB4CAE" w:rsidP="0075176E">
      <w:pPr>
        <w:pStyle w:val="af6"/>
        <w:widowControl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 российских клинических рекомендациях «Острые респираторные вирусные инфекции (ОРВИ) у взрослых»</w:t>
      </w:r>
      <w:r w:rsidRPr="00DB4CAE">
        <w:rPr>
          <w:rStyle w:val="af8"/>
          <w:rFonts w:ascii="Times New Roman" w:eastAsia="Times New Roman" w:hAnsi="Times New Roman" w:cs="Times New Roman"/>
          <w:color w:val="000000" w:themeColor="text1"/>
          <w:sz w:val="24"/>
          <w:szCs w:val="24"/>
        </w:rPr>
        <w:footnoteReference w:id="4"/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одобренных Научно-практическим </w:t>
      </w:r>
      <w:r w:rsidR="00E262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оветом Минздрава России в 2021 г., «</w:t>
      </w:r>
      <w:r w:rsidRPr="00DB4CA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рекомендовано использование препаратов с широким противовирусным действием. Назначение индукторов интерферона целесообразно с целью профилактики или в первые сутки заболевания»</w:t>
      </w:r>
      <w:r w:rsidRPr="004A141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, при этом в числе прочих указан релиз-активный</w:t>
      </w:r>
      <w:r w:rsidRPr="00DB4CA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 xml:space="preserve"> «Эргоферон (Антитела к гамма-интерферону аффинно очищенные)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». 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>По мнению разработчиков рекомендаций, уровень убедительности рекомендаций невысокий, относясь к разряду С (то есть, отсутствуют доказательства надлежащего качества, все рассматриваемые критерии эффективности (исходы) являются неважными, все исследования имеют низкое методологическое качество и их выводы по интересующим исходам не являются согласованными)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При этом </w:t>
      </w:r>
      <w:r w:rsidR="00782FC1"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указан 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уровень достоверности доказательств </w:t>
      </w:r>
      <w:r w:rsidR="00782F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— 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2, то есть достаточно высокий (отдельные рандомизированные клинические исследования и системные обзоры исследований любого дизайна за исключением рандомизированных клинических исследований с применением мета-анализа). </w:t>
      </w:r>
    </w:p>
    <w:p w14:paraId="3A2E75C0" w14:textId="77777777" w:rsidR="00DB4CAE" w:rsidRPr="00DB4CAE" w:rsidRDefault="00DB4CAE" w:rsidP="0075176E">
      <w:pPr>
        <w:pStyle w:val="af6"/>
        <w:widowControl/>
        <w:spacing w:after="12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>Указанный «Эргоферон», относится к препаратам, статьи по которым были отозваны редакциями ряда авторитетных научных журналов. Так, в 2019 г. «Antiviral Research» отозвал две статьи по «релиз-активным» препаратам, которые были опубликованы в нем в 2011 и 2017 гг.</w:t>
      </w:r>
    </w:p>
    <w:p w14:paraId="236812A8" w14:textId="4EE08767" w:rsidR="00DB4CAE" w:rsidRPr="00DB4CAE" w:rsidRDefault="00DB4CAE" w:rsidP="0075176E">
      <w:pPr>
        <w:pStyle w:val="af6"/>
        <w:widowControl/>
        <w:spacing w:after="120"/>
        <w:ind w:firstLine="709"/>
        <w:jc w:val="both"/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 российских клинических рекомендациях «Синдром </w:t>
      </w:r>
      <w:r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раздраженного кишечника (взрослые)»</w:t>
      </w:r>
      <w:r w:rsidRPr="00574C72">
        <w:rPr>
          <w:rStyle w:val="af8"/>
          <w:rFonts w:ascii="Times New Roman" w:eastAsia="Times New Roman" w:hAnsi="Times New Roman" w:cs="Times New Roman"/>
          <w:color w:val="000000" w:themeColor="text1"/>
          <w:sz w:val="24"/>
          <w:szCs w:val="24"/>
        </w:rPr>
        <w:footnoteReference w:id="5"/>
      </w:r>
      <w:r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одобренных Научно-практическим </w:t>
      </w:r>
      <w:r w:rsidR="00E26263"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</w:t>
      </w:r>
      <w:r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оветом Минздрава России в 2021</w:t>
      </w:r>
      <w:r w:rsidR="00E26263"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  <w:r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г., и в российских клинических рекомендациях «Синдром раздраженного кишечника (взрослые, </w:t>
      </w:r>
      <w:r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дети)»</w:t>
      </w:r>
      <w:r w:rsidRPr="00574C72">
        <w:rPr>
          <w:rStyle w:val="af8"/>
          <w:rFonts w:ascii="Times New Roman" w:eastAsia="Times New Roman" w:hAnsi="Times New Roman" w:cs="Times New Roman"/>
          <w:color w:val="000000" w:themeColor="text1"/>
          <w:sz w:val="24"/>
          <w:szCs w:val="24"/>
        </w:rPr>
        <w:footnoteReference w:id="6"/>
      </w:r>
      <w:r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одобренных Научно-практическим </w:t>
      </w:r>
      <w:r w:rsidR="00E26263"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</w:t>
      </w:r>
      <w:r w:rsidRPr="00574C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оветом Минздрава России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 2024</w:t>
      </w:r>
      <w:r w:rsidR="00E262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г., рекомендовано назначение препарата «Колофорт». Взрослым 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пациентам с СРК рекомендуется назначение «Колофорта» «</w:t>
      </w:r>
      <w:r w:rsidRPr="00DB4CAE">
        <w:rPr>
          <w:rStyle w:val="fontstyle01"/>
          <w:rFonts w:ascii="Times New Roman" w:hAnsi="Times New Roman" w:cs="Times New Roman"/>
          <w:i/>
          <w:color w:val="000000" w:themeColor="text1"/>
          <w:sz w:val="24"/>
          <w:szCs w:val="24"/>
        </w:rPr>
        <w:t>для уменьшения боли в животе, нормализации частоты и консистенции стула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». </w:t>
      </w:r>
    </w:p>
    <w:p w14:paraId="6AA06A94" w14:textId="124D97F8" w:rsidR="00DB4CAE" w:rsidRPr="00DB4CAE" w:rsidRDefault="00DB4CAE" w:rsidP="0075176E">
      <w:pPr>
        <w:pStyle w:val="af6"/>
        <w:widowControl/>
        <w:spacing w:after="120"/>
        <w:ind w:firstLine="709"/>
        <w:jc w:val="both"/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Данная фраза идентична в рекомендациях 2021 и 2024 гг., при этом в обоих случаях дана ссылка всего на три работы, которые объявлены </w:t>
      </w:r>
      <w:r w:rsidRPr="00DB4CAE">
        <w:rPr>
          <w:rStyle w:val="fontstyle31"/>
          <w:rFonts w:ascii="Times New Roman" w:hAnsi="Times New Roman" w:cs="Times New Roman"/>
          <w:color w:val="000000" w:themeColor="text1"/>
          <w:sz w:val="24"/>
          <w:szCs w:val="24"/>
        </w:rPr>
        <w:t>рандомизированными плацебо-контролируемыми исследованиями.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На самом деле в одной из них при описании клинических испытаний «Колофорта» отсутствуют сведения о числе пациентов в контрольной группе с плацебо (Авалуева и др., 2014). В другой работе объемы выборок большие (в целом 9254 пациентов), но исследование было обсервационным неинтервенционным ретроспективным на основе анализа опросников, а не рандомизированным плацебо-контролируемым (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Ivashkin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A1413">
        <w:rPr>
          <w:rStyle w:val="fontstyle01"/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et</w:t>
      </w:r>
      <w:r w:rsidRPr="004A1413">
        <w:rPr>
          <w:rStyle w:val="fontstyle01"/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4A1413">
        <w:rPr>
          <w:rStyle w:val="fontstyle01"/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al</w:t>
      </w:r>
      <w:r w:rsidRPr="004A1413">
        <w:rPr>
          <w:rStyle w:val="fontstyle01"/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.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, 2020). Третья работа также являлась не клиническим исследованием с плацебо-контролем, а была сравнительной оценкой эффективности «Колофорта» и «Тримебутина» (Маев и др., 2016).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B4CAE">
        <w:rPr>
          <w:rStyle w:val="fontstyle21"/>
          <w:rFonts w:ascii="Times New Roman" w:hAnsi="Times New Roman" w:cs="Times New Roman"/>
          <w:b w:val="0"/>
          <w:color w:val="000000" w:themeColor="text1"/>
          <w:sz w:val="24"/>
          <w:szCs w:val="24"/>
        </w:rPr>
        <w:t>Уровень убедительности и уровень достоверности доказательств: этих рекомендаций оценены как слабые и низкие. Уровень убедительности</w:t>
      </w:r>
      <w:r w:rsidR="00782FC1">
        <w:rPr>
          <w:rStyle w:val="fontstyle21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—</w:t>
      </w:r>
      <w:r w:rsidRPr="00DB4CAE">
        <w:rPr>
          <w:rStyle w:val="fontstyle21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С</w:t>
      </w:r>
      <w:r w:rsidR="00782FC1">
        <w:rPr>
          <w:rStyle w:val="fontstyle21"/>
          <w:rFonts w:ascii="Times New Roman" w:hAnsi="Times New Roman" w:cs="Times New Roman"/>
          <w:b w:val="0"/>
          <w:color w:val="000000" w:themeColor="text1"/>
          <w:sz w:val="24"/>
          <w:szCs w:val="24"/>
        </w:rPr>
        <w:t>,</w:t>
      </w:r>
      <w:r w:rsidRPr="00DB4CAE">
        <w:rPr>
          <w:rStyle w:val="fontstyle21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то есть, 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слабая рекомендация (отсутствие доказательств надлежащего качества (все рассматриваемые критерии эффективности (исходы) являются неважными, все исследования имеют низкое методологическое качество и их выводы по интересующим исходам не являются согласованными);</w:t>
      </w:r>
      <w:r w:rsidRPr="00DB4CAE">
        <w:rPr>
          <w:rStyle w:val="fontstyle21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B4CAE">
        <w:rPr>
          <w:rStyle w:val="fontstyle21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уровень достоверности доказательств </w:t>
      </w:r>
      <w:r w:rsidR="00782FC1">
        <w:rPr>
          <w:rStyle w:val="fontstyle21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— </w:t>
      </w:r>
      <w:r w:rsidRPr="00DB4CAE">
        <w:rPr>
          <w:rStyle w:val="fontstyle21"/>
          <w:rFonts w:ascii="Times New Roman" w:hAnsi="Times New Roman" w:cs="Times New Roman"/>
          <w:b w:val="0"/>
          <w:color w:val="000000" w:themeColor="text1"/>
          <w:sz w:val="24"/>
          <w:szCs w:val="24"/>
        </w:rPr>
        <w:t>3, то есть, низкий (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нерандомизированные сравнительные исследования)</w:t>
      </w:r>
      <w:r w:rsidRPr="00DB4CAE">
        <w:rPr>
          <w:rStyle w:val="fontstyle21"/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725AEC5" w14:textId="3B02D3E4" w:rsidR="00DB4CAE" w:rsidRPr="00DB4CAE" w:rsidRDefault="00DB4CAE" w:rsidP="0075176E">
      <w:pPr>
        <w:pStyle w:val="af6"/>
        <w:widowControl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 клинических рекомендациях Национальной медицинской ассоциации оториноларингологов «Острый синусит</w:t>
      </w:r>
      <w:r w:rsidRPr="00DB4CAE">
        <w:rPr>
          <w:rFonts w:ascii="Times New Roman" w:eastAsiaTheme="minorHAnsi" w:hAnsi="Times New Roman" w:cs="Times New Roman"/>
          <w:bCs/>
          <w:color w:val="000000" w:themeColor="text1"/>
          <w:sz w:val="24"/>
          <w:szCs w:val="24"/>
          <w:lang w:eastAsia="en-US" w:bidi="ar-SA"/>
        </w:rPr>
        <w:t xml:space="preserve"> (взрослые, дети)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</w:t>
      </w:r>
      <w:r w:rsidRPr="00DB4CAE">
        <w:rPr>
          <w:rStyle w:val="af8"/>
          <w:rFonts w:ascii="Times New Roman" w:eastAsia="Times New Roman" w:hAnsi="Times New Roman" w:cs="Times New Roman"/>
          <w:color w:val="000000" w:themeColor="text1"/>
          <w:sz w:val="24"/>
          <w:szCs w:val="24"/>
        </w:rPr>
        <w:footnoteReference w:id="7"/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одобренных Научно-практическим </w:t>
      </w:r>
      <w:r w:rsidR="00782F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оветом Минздрава России в 2021, </w:t>
      </w:r>
      <w:r w:rsidRPr="00DB4CAE">
        <w:rPr>
          <w:rFonts w:ascii="Times New Roman" w:eastAsiaTheme="minorHAnsi" w:hAnsi="Times New Roman" w:cs="Times New Roman"/>
          <w:bCs/>
          <w:color w:val="000000" w:themeColor="text1"/>
          <w:sz w:val="24"/>
          <w:szCs w:val="24"/>
          <w:lang w:eastAsia="en-US" w:bidi="ar-SA"/>
        </w:rPr>
        <w:t>указано, что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«</w:t>
      </w:r>
      <w:r w:rsidRPr="00DB4CA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для уменьшения воспаления и боли может быть использован многокомпонентный гомеопатический препарат с доказанным модулирующим действием на медиаторы воспаления без подавления ЦОГ2, что существенно повышает профиль безопасности терапии при сохранении эффективности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». 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 клинических рекомендациях «Острый </w:t>
      </w:r>
      <w:r w:rsidRPr="004A141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синусит (взрослые, дети)»</w:t>
      </w:r>
      <w:r w:rsidRPr="004A1413">
        <w:rPr>
          <w:rStyle w:val="af8"/>
          <w:rFonts w:ascii="Times New Roman" w:eastAsia="Times New Roman" w:hAnsi="Times New Roman" w:cs="Times New Roman"/>
          <w:color w:val="000000" w:themeColor="text1"/>
          <w:sz w:val="24"/>
          <w:szCs w:val="24"/>
        </w:rPr>
        <w:footnoteReference w:id="8"/>
      </w:r>
      <w:r w:rsidRPr="004A141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одобренных Научно-практическим </w:t>
      </w:r>
      <w:r w:rsidR="00782F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оветом Минздрава России в 2024 г.</w:t>
      </w:r>
      <w:r w:rsidRPr="00DB4CAE">
        <w:rPr>
          <w:rFonts w:ascii="Times New Roman" w:eastAsiaTheme="minorHAnsi" w:hAnsi="Times New Roman" w:cs="Times New Roman"/>
          <w:bCs/>
          <w:color w:val="000000" w:themeColor="text1"/>
          <w:sz w:val="24"/>
          <w:szCs w:val="24"/>
          <w:lang w:eastAsia="en-US" w:bidi="ar-SA"/>
        </w:rPr>
        <w:t xml:space="preserve"> 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рекомендовано «</w:t>
      </w:r>
      <w:r w:rsidRPr="00DB4CA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применение комплексных гомеопатических препаратов в лечении легких форм острого синусита по зарегистрированным показаниям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>», при этом указано, что «</w:t>
      </w:r>
      <w:r w:rsidRPr="00DB4CA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рекомендуется применение комплексного гомеопатического препарата, обладающего доказанным модулирующим действием на медиаторы воспаления без подавления ЦОГ2, у взрослых пациентов с ОС с целью ускорения разрешения симптомов и повышения профиля безопасности терапии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». Уровень убедительности рекомендаций </w:t>
      </w:r>
      <w:r w:rsidR="00782FC1">
        <w:rPr>
          <w:rFonts w:ascii="Times New Roman" w:hAnsi="Times New Roman" w:cs="Times New Roman"/>
          <w:color w:val="000000" w:themeColor="text1"/>
          <w:sz w:val="24"/>
          <w:szCs w:val="24"/>
        </w:rPr>
        <w:t>—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C (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слабая рекомендация: отсутствие доказательств надлежащего качества; все рассматриваемые критерии эффективности (исходы) являются неважными, все исследования имеют низкое методологическое качество и их выводы по интересующим исходам не являются согласованными)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уровень достоверности доказательств </w:t>
      </w:r>
      <w:r w:rsidR="00782FC1">
        <w:rPr>
          <w:rFonts w:ascii="Times New Roman" w:hAnsi="Times New Roman" w:cs="Times New Roman"/>
          <w:color w:val="000000" w:themeColor="text1"/>
          <w:sz w:val="24"/>
          <w:szCs w:val="24"/>
        </w:rPr>
        <w:t>—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4 (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несравнительные исследования, описание клинического случая или серии случаев, исследования «случай-контроль»)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При этом из шести источников, на которые даны ссылки, только две работы посвящены лечению синусита гомеопатическим средством (Безшапочный и др., 2006; 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Friese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A1413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et</w:t>
      </w:r>
      <w:r w:rsidRPr="004A141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4A1413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al</w:t>
      </w:r>
      <w:r w:rsidRPr="004A141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.</w:t>
      </w:r>
      <w:r w:rsidRPr="00DB4C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2007). </w:t>
      </w: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6BAE90D5" w14:textId="7687A4B2" w:rsidR="00507ADA" w:rsidRPr="00DB4CAE" w:rsidRDefault="00DB4CAE" w:rsidP="0075176E">
      <w:pPr>
        <w:pStyle w:val="af6"/>
        <w:widowControl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В настоящем документе приведены примеры уже утвержденных клинических рекомендаций. Это не означает, что указанный список является исчерпывающим, учитывая, что по многим нозологиям клинические рекомендации находятся в стадиях разработки или пересмотра и пока существуют в виде проектов.</w:t>
      </w:r>
    </w:p>
    <w:p w14:paraId="22F73058" w14:textId="6C181D60" w:rsidR="00507ADA" w:rsidRPr="00DB4CAE" w:rsidRDefault="00406D31" w:rsidP="0075176E">
      <w:pPr>
        <w:pStyle w:val="af6"/>
        <w:widowControl/>
        <w:spacing w:after="12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Та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кже, для защиты населения</w:t>
      </w:r>
      <w:r w:rsid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и </w:t>
      </w:r>
      <w:r w:rsidR="00DB4CAE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отечественной системы </w:t>
      </w:r>
      <w:r w:rsid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здравоохранения 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от применения неэффективных препаратов,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Правительству Российской Федерации и соответствующим федеральным органам исполнительной власти 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было бы 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целесообразно 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в рамках Евразийского Экономического Союза (ЕАЭС) инициировать 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вы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работку единых подходов к ограничению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производства и 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применения лекарственных средств, не содержащих молекул действующих веществ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Такие решения могут быть рассмотрены регулирующими органами ЕАЭС: Евразийской экономической комиссией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(ЕЭК) </w:t>
      </w:r>
      <w:r w:rsidR="00782FC1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—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в части правил регистрации и экспертизы лекарственных средств, надлежащей производственной и дистри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бьюторской практики, а также Экспертным комитетом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при ЕЭК по лекарст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венным средствам и Фармакопейным комитетом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ЕАЭС </w:t>
      </w:r>
      <w:r w:rsidR="00782FC1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—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в части стандартизации требований к лекарственным средствам, предназначенным для обращения в рамках ед</w:t>
      </w:r>
      <w:r w:rsidR="007570C2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иного рынка на территории </w:t>
      </w:r>
      <w:r w:rsidR="00507ADA"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>ЕАЭС.</w:t>
      </w:r>
      <w:r w:rsidRPr="00DB4CAE">
        <w:rPr>
          <w:rStyle w:val="fontstyle01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00066847" w14:textId="77777777" w:rsidR="00306D13" w:rsidRPr="0025667D" w:rsidRDefault="00306D13" w:rsidP="0075176E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10DB2A23" w14:textId="77777777" w:rsidR="00306D13" w:rsidRPr="0025667D" w:rsidRDefault="00306D13" w:rsidP="007517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2566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Литература</w:t>
      </w:r>
    </w:p>
    <w:p w14:paraId="42EC38FD" w14:textId="6CB6ADA5" w:rsidR="00306D13" w:rsidRPr="0075176E" w:rsidRDefault="00306D13" w:rsidP="0075176E">
      <w:pPr>
        <w:pStyle w:val="af6"/>
        <w:widowControl/>
        <w:numPr>
          <w:ilvl w:val="0"/>
          <w:numId w:val="4"/>
        </w:numPr>
        <w:spacing w:after="120"/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</w:pP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Авалуева Е.Б., Адашева Т.В., Бабаева А.Р., Бурдина Е.Г., Киреева Н.В., Ленская Л.Г., ... &amp; Андрианова Е.Н. Эффективность и безопасность применения Колофорта при синдроме раздраженного кишечника: итоги многоцентрового двойного слепого плацебо-контролируемого рандомизированного клинического исследования. </w:t>
      </w:r>
      <w:r w:rsidRPr="0075176E">
        <w:rPr>
          <w:rFonts w:ascii="Times New Roman" w:hAnsi="Times New Roman" w:cs="Times New Roman"/>
          <w:i/>
          <w:color w:val="000000" w:themeColor="text1"/>
          <w:sz w:val="22"/>
          <w:szCs w:val="22"/>
          <w:shd w:val="clear" w:color="auto" w:fill="FFFFFF"/>
        </w:rPr>
        <w:t>Consilium Medicum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. </w:t>
      </w:r>
      <w:r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</w:rPr>
        <w:t xml:space="preserve">Гастроэнтерология 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</w:rPr>
        <w:t>(Прил.)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. 2014; 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</w:rPr>
        <w:t>1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:43</w:t>
      </w:r>
      <w:r w:rsidR="00782FC1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–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50</w:t>
      </w:r>
      <w:r w:rsidR="0011533F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, </w:t>
      </w:r>
      <w:hyperlink r:id="rId9" w:history="1"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https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</w:rPr>
          <w:t>://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www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</w:rPr>
          <w:t>.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elibrary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</w:rPr>
          <w:t>.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ru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</w:rPr>
          <w:t>/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item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</w:rPr>
          <w:t>.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asp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</w:rPr>
          <w:t>?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id</w:t>
        </w:r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</w:rPr>
          <w:t>=21623803</w:t>
        </w:r>
      </w:hyperlink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.</w:t>
      </w:r>
    </w:p>
    <w:p w14:paraId="7B5312D9" w14:textId="5069CFD9" w:rsidR="00306D13" w:rsidRPr="0075176E" w:rsidRDefault="00306D13" w:rsidP="0075176E">
      <w:pPr>
        <w:pStyle w:val="af6"/>
        <w:widowControl/>
        <w:numPr>
          <w:ilvl w:val="0"/>
          <w:numId w:val="4"/>
        </w:numPr>
        <w:spacing w:after="120"/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</w:pPr>
      <w:r w:rsidRPr="0075176E"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  <w:t xml:space="preserve">Безшапочный С.Б., Подовжный О.Г., Лобурец B.В. Применение препарата Циннабсин для лечения больных риносинуситом. </w:t>
      </w:r>
      <w:r w:rsidRPr="0075176E">
        <w:rPr>
          <w:rFonts w:ascii="Times New Roman" w:eastAsia="Times New Roman" w:hAnsi="Times New Roman" w:cs="Times New Roman"/>
          <w:bCs/>
          <w:i/>
          <w:color w:val="000000" w:themeColor="text1"/>
          <w:sz w:val="22"/>
          <w:szCs w:val="22"/>
        </w:rPr>
        <w:t>Ринология</w:t>
      </w:r>
      <w:r w:rsidRPr="0075176E"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  <w:t>. 2006; 2:24–29.</w:t>
      </w:r>
    </w:p>
    <w:p w14:paraId="3D070DC3" w14:textId="3E7EA4D2" w:rsidR="00306D13" w:rsidRPr="0075176E" w:rsidRDefault="00306D13" w:rsidP="0075176E">
      <w:pPr>
        <w:pStyle w:val="af6"/>
        <w:widowControl/>
        <w:numPr>
          <w:ilvl w:val="0"/>
          <w:numId w:val="4"/>
        </w:numPr>
        <w:spacing w:after="120"/>
        <w:rPr>
          <w:rStyle w:val="fontstyle01"/>
          <w:rFonts w:ascii="Times New Roman" w:hAnsi="Times New Roman" w:cs="Times New Roman"/>
          <w:color w:val="000000" w:themeColor="text1"/>
          <w:sz w:val="22"/>
          <w:szCs w:val="22"/>
        </w:rPr>
      </w:pP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Ивашкин В.Т., Шелыгин Ю.А., Баранская Е.К., Ачкасов С.И., Белоус С.С., Белоусова Е.А., ... &amp; Алексеенко С.А.</w:t>
      </w:r>
      <w:r w:rsidRPr="0075176E">
        <w:rPr>
          <w:rStyle w:val="fontstyle01"/>
          <w:rFonts w:ascii="Times New Roman" w:hAnsi="Times New Roman" w:cs="Times New Roman"/>
          <w:color w:val="000000" w:themeColor="text1"/>
          <w:sz w:val="22"/>
          <w:szCs w:val="22"/>
        </w:rPr>
        <w:t xml:space="preserve"> Клинические рекомендации. Диагностика и лечение синдрома раздраженного кишечника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</w:rPr>
        <w:t>.</w:t>
      </w:r>
      <w:r w:rsidR="0011533F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75176E">
        <w:rPr>
          <w:rFonts w:ascii="Times New Roman" w:hAnsi="Times New Roman" w:cs="Times New Roman"/>
          <w:i/>
          <w:color w:val="000000" w:themeColor="text1"/>
          <w:sz w:val="22"/>
          <w:szCs w:val="22"/>
          <w:shd w:val="clear" w:color="auto" w:fill="FFFFFF"/>
        </w:rPr>
        <w:t>Колопроктология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. 2022;</w:t>
      </w:r>
      <w:r w:rsidR="00782FC1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2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</w:rPr>
        <w:t>1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(1):10</w:t>
      </w:r>
      <w:r w:rsidR="00782FC1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–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25</w:t>
      </w:r>
      <w:r w:rsidR="0011533F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,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 </w:t>
      </w:r>
      <w:hyperlink r:id="rId10" w:history="1"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https://doi.org/10.33878/2073-7556-2022-21-1-10-25</w:t>
        </w:r>
      </w:hyperlink>
      <w:r w:rsidRPr="0075176E">
        <w:rPr>
          <w:rStyle w:val="af9"/>
          <w:rFonts w:ascii="Times New Roman" w:hAnsi="Times New Roman" w:cs="Times New Roman"/>
          <w:color w:val="000000" w:themeColor="text1"/>
          <w:sz w:val="22"/>
          <w:szCs w:val="22"/>
        </w:rPr>
        <w:t>.</w:t>
      </w:r>
    </w:p>
    <w:p w14:paraId="52A7C04A" w14:textId="1B85E262" w:rsidR="00306D13" w:rsidRPr="0075176E" w:rsidRDefault="00306D13" w:rsidP="0075176E">
      <w:pPr>
        <w:pStyle w:val="af6"/>
        <w:widowControl/>
        <w:numPr>
          <w:ilvl w:val="0"/>
          <w:numId w:val="4"/>
        </w:numPr>
        <w:spacing w:after="120"/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</w:pP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Маев И.В., Самсонов А.А., Яшина А.В., Андреев Д.Н., Шестаков В.А., Караулов С.А. Клиническая эффективность и безопасность схем лечения синдрома раздраженного кишечника (результаты сравнительного исследования). </w:t>
      </w:r>
      <w:r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</w:rPr>
        <w:t>Consilium medicum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</w:rPr>
        <w:t xml:space="preserve">. 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2016;</w:t>
      </w:r>
      <w:r w:rsidR="00782FC1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</w:rPr>
        <w:t>18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(8):19</w:t>
      </w:r>
      <w:r w:rsidR="00782FC1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–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26</w:t>
      </w:r>
      <w:r w:rsidR="0011533F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 xml:space="preserve">, </w:t>
      </w:r>
      <w:hyperlink r:id="rId11" w:history="1">
        <w:r w:rsidR="0011533F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https://www.elibrary.ru/item.asp?id=27542967</w:t>
        </w:r>
      </w:hyperlink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.</w:t>
      </w:r>
    </w:p>
    <w:p w14:paraId="0888B78B" w14:textId="7A4A9820" w:rsidR="00306D13" w:rsidRPr="0075176E" w:rsidRDefault="00306D13" w:rsidP="0075176E">
      <w:pPr>
        <w:pStyle w:val="af6"/>
        <w:widowControl/>
        <w:numPr>
          <w:ilvl w:val="0"/>
          <w:numId w:val="4"/>
        </w:numPr>
        <w:spacing w:after="120"/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</w:pPr>
      <w:r w:rsidRPr="0075176E">
        <w:rPr>
          <w:rFonts w:ascii="Times New Roman" w:hAnsi="Times New Roman" w:cs="Times New Roman"/>
          <w:sz w:val="22"/>
          <w:szCs w:val="22"/>
        </w:rPr>
        <w:t>О лженаучности гомеопатии. Меморандум №</w:t>
      </w:r>
      <w:r w:rsidR="0011533F" w:rsidRPr="0075176E">
        <w:rPr>
          <w:rFonts w:ascii="Times New Roman" w:hAnsi="Times New Roman" w:cs="Times New Roman"/>
          <w:sz w:val="22"/>
          <w:szCs w:val="22"/>
          <w:lang w:val="en-US"/>
        </w:rPr>
        <w:t> </w:t>
      </w:r>
      <w:r w:rsidRPr="0075176E">
        <w:rPr>
          <w:rFonts w:ascii="Times New Roman" w:hAnsi="Times New Roman" w:cs="Times New Roman"/>
          <w:sz w:val="22"/>
          <w:szCs w:val="22"/>
        </w:rPr>
        <w:t>2 Комиссии по борьбе с лженаукой и фальсификацией научных исследований при Президиуме РАН (7 февраля 2017 г.)</w:t>
      </w:r>
      <w:r w:rsidR="0011533F" w:rsidRPr="0075176E">
        <w:rPr>
          <w:rFonts w:ascii="Times New Roman" w:hAnsi="Times New Roman" w:cs="Times New Roman"/>
          <w:sz w:val="22"/>
          <w:szCs w:val="22"/>
        </w:rPr>
        <w:t>,</w:t>
      </w:r>
      <w:r w:rsidRPr="0075176E">
        <w:rPr>
          <w:rFonts w:ascii="Times New Roman" w:hAnsi="Times New Roman" w:cs="Times New Roman"/>
          <w:sz w:val="22"/>
          <w:szCs w:val="22"/>
        </w:rPr>
        <w:t xml:space="preserve"> </w:t>
      </w:r>
      <w:hyperlink r:id="rId12" w:history="1"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https://klnran.ru/2017/02/memorandum02-homeopathy</w:t>
        </w:r>
      </w:hyperlink>
      <w:r w:rsidRPr="0075176E">
        <w:rPr>
          <w:rFonts w:ascii="Times New Roman" w:hAnsi="Times New Roman" w:cs="Times New Roman"/>
          <w:sz w:val="22"/>
          <w:szCs w:val="22"/>
        </w:rPr>
        <w:t>.</w:t>
      </w:r>
    </w:p>
    <w:p w14:paraId="7FF60F1B" w14:textId="71E23F60" w:rsidR="00306D13" w:rsidRPr="0075176E" w:rsidRDefault="00306D13" w:rsidP="0075176E">
      <w:pPr>
        <w:pStyle w:val="af6"/>
        <w:widowControl/>
        <w:numPr>
          <w:ilvl w:val="0"/>
          <w:numId w:val="4"/>
        </w:numPr>
        <w:spacing w:after="120"/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</w:pP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Хромов-Борисов Н.Н., Александров Е.Б. Релиз-активность, супрамолекулярные матрицы, пространственный гомеостаз </w:t>
      </w:r>
      <w:r w:rsidR="00782FC1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—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 новые фантомы и иллюзии в биомедицине. </w:t>
      </w:r>
      <w:r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</w:rPr>
        <w:t xml:space="preserve">Вестник </w:t>
      </w:r>
      <w:r w:rsidR="004578F8"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</w:rPr>
        <w:t>РАН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. 2022;</w:t>
      </w:r>
      <w:r w:rsidR="00782FC1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</w:rPr>
        <w:t>92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(5):440</w:t>
      </w:r>
      <w:r w:rsidR="00782FC1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–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448. </w:t>
      </w:r>
      <w:r w:rsidRPr="0075176E">
        <w:rPr>
          <w:rStyle w:val="fontstyle01"/>
          <w:rFonts w:ascii="Times New Roman" w:hAnsi="Times New Roman" w:cs="Times New Roman"/>
          <w:color w:val="000000" w:themeColor="text1"/>
          <w:sz w:val="22"/>
          <w:szCs w:val="22"/>
          <w:lang w:val="en-US"/>
        </w:rPr>
        <w:t>DOI</w:t>
      </w:r>
      <w:r w:rsidRPr="0075176E">
        <w:rPr>
          <w:rStyle w:val="fontstyle01"/>
          <w:rFonts w:ascii="Times New Roman" w:hAnsi="Times New Roman" w:cs="Times New Roman"/>
          <w:color w:val="000000" w:themeColor="text1"/>
          <w:sz w:val="22"/>
          <w:szCs w:val="22"/>
        </w:rPr>
        <w:t xml:space="preserve">: </w:t>
      </w:r>
      <w:r w:rsidRPr="0075176E">
        <w:rPr>
          <w:rStyle w:val="fontstyle21"/>
          <w:rFonts w:ascii="Times New Roman" w:hAnsi="Times New Roman" w:cs="Times New Roman"/>
          <w:b w:val="0"/>
          <w:color w:val="000000" w:themeColor="text1"/>
          <w:sz w:val="22"/>
          <w:szCs w:val="22"/>
        </w:rPr>
        <w:t>10.31857/</w:t>
      </w:r>
      <w:r w:rsidRPr="0075176E">
        <w:rPr>
          <w:rStyle w:val="fontstyle21"/>
          <w:rFonts w:ascii="Times New Roman" w:hAnsi="Times New Roman" w:cs="Times New Roman"/>
          <w:b w:val="0"/>
          <w:color w:val="000000" w:themeColor="text1"/>
          <w:sz w:val="22"/>
          <w:szCs w:val="22"/>
          <w:lang w:val="en-US"/>
        </w:rPr>
        <w:t>S</w:t>
      </w:r>
      <w:r w:rsidRPr="0075176E">
        <w:rPr>
          <w:rStyle w:val="fontstyle21"/>
          <w:rFonts w:ascii="Times New Roman" w:hAnsi="Times New Roman" w:cs="Times New Roman"/>
          <w:b w:val="0"/>
          <w:color w:val="000000" w:themeColor="text1"/>
          <w:sz w:val="22"/>
          <w:szCs w:val="22"/>
        </w:rPr>
        <w:t>0869587322050036</w:t>
      </w:r>
      <w:r w:rsidR="006F26FA" w:rsidRPr="0075176E">
        <w:rPr>
          <w:rStyle w:val="fontstyle21"/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, </w:t>
      </w:r>
      <w:hyperlink r:id="rId13" w:history="1"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lang w:val="en-US"/>
          </w:rPr>
          <w:t>https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://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lang w:val="en-US"/>
          </w:rPr>
          <w:t>www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.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lang w:val="en-US"/>
          </w:rPr>
          <w:t>elibrary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.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lang w:val="en-US"/>
          </w:rPr>
          <w:t>ru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/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lang w:val="en-US"/>
          </w:rPr>
          <w:t>item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.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lang w:val="en-US"/>
          </w:rPr>
          <w:t>asp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?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lang w:val="en-US"/>
          </w:rPr>
          <w:t>id</w:t>
        </w:r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</w:rPr>
          <w:t>=48622196</w:t>
        </w:r>
      </w:hyperlink>
      <w:r w:rsidR="00782FC1" w:rsidRPr="0075176E">
        <w:rPr>
          <w:rStyle w:val="fontstyle21"/>
          <w:rFonts w:ascii="Times New Roman" w:hAnsi="Times New Roman" w:cs="Times New Roman"/>
          <w:b w:val="0"/>
          <w:color w:val="000000" w:themeColor="text1"/>
          <w:sz w:val="22"/>
          <w:szCs w:val="22"/>
        </w:rPr>
        <w:t>.</w:t>
      </w:r>
    </w:p>
    <w:p w14:paraId="1DAE872E" w14:textId="430D9620" w:rsidR="00306D13" w:rsidRPr="0075176E" w:rsidRDefault="00306D13" w:rsidP="0075176E">
      <w:pPr>
        <w:pStyle w:val="af6"/>
        <w:widowControl/>
        <w:numPr>
          <w:ilvl w:val="0"/>
          <w:numId w:val="4"/>
        </w:numPr>
        <w:spacing w:after="120"/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</w:pP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 xml:space="preserve">Friese K.H., Zabalotnyi D.I. Homöopathie bei akuter Rhinosinusitis. 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lang w:val="en-US"/>
        </w:rPr>
        <w:t xml:space="preserve">Eine doppelblinde, placebokontrollierte Studie belegt die Wirksamkeit und Verträglichkeit eines homöopathischen Kombinationsarzneimittels. </w:t>
      </w:r>
      <w:r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  <w:lang w:val="en-US"/>
        </w:rPr>
        <w:t>HNO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  <w:lang w:val="en-US"/>
        </w:rPr>
        <w:t>. 2007;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> </w:t>
      </w:r>
      <w:r w:rsidRPr="0075176E">
        <w:rPr>
          <w:rFonts w:ascii="Times New Roman" w:hAnsi="Times New Roman" w:cs="Times New Roman"/>
          <w:bCs/>
          <w:color w:val="000000" w:themeColor="text1"/>
          <w:sz w:val="22"/>
          <w:szCs w:val="22"/>
          <w:shd w:val="clear" w:color="auto" w:fill="FFFFFF"/>
          <w:lang w:val="en-US"/>
        </w:rPr>
        <w:t>55</w:t>
      </w:r>
      <w:r w:rsidRPr="0075176E">
        <w:rPr>
          <w:rFonts w:ascii="Times New Roman" w:hAnsi="Times New Roman" w:cs="Times New Roman"/>
          <w:b/>
          <w:bCs/>
          <w:color w:val="000000" w:themeColor="text1"/>
          <w:sz w:val="22"/>
          <w:szCs w:val="22"/>
          <w:shd w:val="clear" w:color="auto" w:fill="FFFFFF"/>
          <w:lang w:val="en-US"/>
        </w:rPr>
        <w:t>: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>271–277</w:t>
      </w:r>
      <w:r w:rsidR="0011533F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>,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 xml:space="preserve"> </w:t>
      </w:r>
      <w:hyperlink r:id="rId14" w:history="1"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  <w:lang w:val="en-US"/>
          </w:rPr>
          <w:t>https://doi.org/10.1007/s00106-006-1480-x</w:t>
        </w:r>
      </w:hyperlink>
      <w:r w:rsidR="001E6F9A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>.</w:t>
      </w:r>
    </w:p>
    <w:p w14:paraId="4B84B9AA" w14:textId="0657A801" w:rsidR="00306D13" w:rsidRPr="0075176E" w:rsidRDefault="00306D13" w:rsidP="0075176E">
      <w:pPr>
        <w:pStyle w:val="af6"/>
        <w:widowControl/>
        <w:numPr>
          <w:ilvl w:val="0"/>
          <w:numId w:val="4"/>
        </w:numPr>
        <w:spacing w:after="120"/>
        <w:rPr>
          <w:rFonts w:ascii="Times New Roman" w:hAnsi="Times New Roman" w:cs="Times New Roman"/>
          <w:color w:val="000000" w:themeColor="text1"/>
          <w:sz w:val="22"/>
          <w:szCs w:val="22"/>
          <w:lang w:val="en-US"/>
        </w:rPr>
      </w:pP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>Ivashkin V.T., Poluektova E.A., Glazunov A.B., Putilovskiy M.A., Epstein O.I. Pathogenetic approach to the treatment of functional disorders of the gastrointestinal tract and their intersection: results of the Russian observation retrospective program COMFORT. </w:t>
      </w:r>
      <w:r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  <w:lang w:val="en-US"/>
        </w:rPr>
        <w:t xml:space="preserve">BMC </w:t>
      </w:r>
      <w:r w:rsidR="004578F8"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  <w:lang w:val="en-US"/>
        </w:rPr>
        <w:t>G</w:t>
      </w:r>
      <w:r w:rsidRPr="0075176E">
        <w:rPr>
          <w:rFonts w:ascii="Times New Roman" w:hAnsi="Times New Roman" w:cs="Times New Roman"/>
          <w:i/>
          <w:iCs/>
          <w:color w:val="000000" w:themeColor="text1"/>
          <w:sz w:val="22"/>
          <w:szCs w:val="22"/>
          <w:shd w:val="clear" w:color="auto" w:fill="FFFFFF"/>
          <w:lang w:val="en-US"/>
        </w:rPr>
        <w:t>astroenterology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  <w:lang w:val="en-US"/>
        </w:rPr>
        <w:t>. 2020;</w:t>
      </w:r>
      <w:r w:rsidR="001E6F9A"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  <w:lang w:val="en-US"/>
        </w:rPr>
        <w:t>20</w:t>
      </w:r>
      <w:r w:rsidRPr="0075176E">
        <w:rPr>
          <w:rFonts w:ascii="Times New Roman" w:hAnsi="Times New Roman" w:cs="Times New Roman"/>
          <w:iCs/>
          <w:color w:val="000000" w:themeColor="text1"/>
          <w:sz w:val="22"/>
          <w:szCs w:val="22"/>
          <w:shd w:val="clear" w:color="auto" w:fill="FFFFFF"/>
        </w:rPr>
        <w:t>(2)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>:1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noBreakHyphen/>
        <w:t>10</w:t>
      </w:r>
      <w:r w:rsidR="006F26FA"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>,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 xml:space="preserve"> </w:t>
      </w:r>
      <w:hyperlink r:id="rId15" w:history="1">
        <w:r w:rsidR="006F26FA" w:rsidRPr="0075176E">
          <w:rPr>
            <w:rStyle w:val="af9"/>
            <w:rFonts w:ascii="Times New Roman" w:hAnsi="Times New Roman" w:cs="Times New Roman"/>
            <w:sz w:val="22"/>
            <w:szCs w:val="22"/>
            <w:shd w:val="clear" w:color="auto" w:fill="FFFFFF"/>
          </w:rPr>
          <w:t>https://doi.org/10.1186/s12876-019-1143-5</w:t>
        </w:r>
      </w:hyperlink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  <w:lang w:val="en-US"/>
        </w:rPr>
        <w:t>.</w:t>
      </w:r>
      <w:r w:rsidRPr="0075176E">
        <w:rPr>
          <w:rFonts w:ascii="Times New Roman" w:hAnsi="Times New Roman" w:cs="Times New Roman"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78C734C2" w14:textId="77EAD5AB" w:rsidR="0075176E" w:rsidRDefault="0075176E">
      <w:pPr>
        <w:rPr>
          <w:rFonts w:ascii="Times New Roman" w:eastAsia="Microsoft Sans Serif" w:hAnsi="Times New Roman" w:cs="Times New Roman"/>
          <w:color w:val="000000" w:themeColor="text1"/>
          <w:sz w:val="25"/>
          <w:szCs w:val="25"/>
          <w:shd w:val="clear" w:color="auto" w:fill="FFFFFF"/>
          <w:lang w:eastAsia="ru-RU" w:bidi="ru-RU"/>
        </w:rPr>
      </w:pPr>
      <w:r>
        <w:rPr>
          <w:rFonts w:ascii="Times New Roman" w:hAnsi="Times New Roman" w:cs="Times New Roman"/>
          <w:color w:val="000000" w:themeColor="text1"/>
          <w:sz w:val="25"/>
          <w:szCs w:val="25"/>
          <w:shd w:val="clear" w:color="auto" w:fill="FFFFFF"/>
        </w:rPr>
        <w:br w:type="page"/>
      </w:r>
    </w:p>
    <w:p w14:paraId="0D3FE85F" w14:textId="77777777" w:rsidR="00572181" w:rsidRDefault="00572181" w:rsidP="00572181">
      <w:pPr>
        <w:pStyle w:val="af6"/>
        <w:spacing w:after="120"/>
        <w:jc w:val="both"/>
        <w:rPr>
          <w:rFonts w:ascii="Times New Roman" w:hAnsi="Times New Roman" w:cs="Times New Roman"/>
          <w:color w:val="000000" w:themeColor="text1"/>
          <w:sz w:val="25"/>
          <w:szCs w:val="25"/>
          <w:shd w:val="clear" w:color="auto" w:fill="FFFFFF"/>
        </w:rPr>
      </w:pPr>
    </w:p>
    <w:p w14:paraId="67C23B95" w14:textId="77777777" w:rsidR="00682D42" w:rsidRPr="00B91095" w:rsidRDefault="00572181" w:rsidP="00682D42">
      <w:pPr>
        <w:pStyle w:val="af6"/>
        <w:spacing w:line="360" w:lineRule="auto"/>
        <w:ind w:firstLine="3119"/>
        <w:jc w:val="both"/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Министру здравоохранения Российской Федерации</w:t>
      </w:r>
      <w:r w:rsidR="00682D42" w:rsidRPr="00B91095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 xml:space="preserve"> </w:t>
      </w:r>
    </w:p>
    <w:p w14:paraId="2174B060" w14:textId="77777777" w:rsidR="00572181" w:rsidRPr="00B91095" w:rsidRDefault="00682D42" w:rsidP="00682D42">
      <w:pPr>
        <w:pStyle w:val="af6"/>
        <w:spacing w:line="360" w:lineRule="auto"/>
        <w:ind w:firstLine="3119"/>
        <w:jc w:val="both"/>
        <w:rPr>
          <w:rFonts w:ascii="Times New Roman" w:hAnsi="Times New Roman" w:cs="Times New Roman"/>
          <w:i/>
          <w:iCs/>
          <w:color w:val="000000" w:themeColor="text1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i/>
          <w:iCs/>
          <w:color w:val="000000" w:themeColor="text1"/>
          <w:sz w:val="27"/>
          <w:szCs w:val="27"/>
          <w:shd w:val="clear" w:color="auto" w:fill="FFFFFF"/>
        </w:rPr>
        <w:t xml:space="preserve">Мурашко Михаилу Альбертовичу </w:t>
      </w:r>
    </w:p>
    <w:p w14:paraId="149F2646" w14:textId="77777777" w:rsidR="00682D42" w:rsidRPr="00B91095" w:rsidRDefault="00682D42" w:rsidP="00682D42">
      <w:pPr>
        <w:pStyle w:val="af6"/>
        <w:spacing w:line="360" w:lineRule="auto"/>
        <w:ind w:firstLine="3119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388C0546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6EB330F5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6B6A21BC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619D1784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629C0448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165D3C7D" w14:textId="77777777" w:rsidR="00682D42" w:rsidRPr="00B91095" w:rsidRDefault="00682D42" w:rsidP="00682D42">
      <w:pPr>
        <w:pStyle w:val="af6"/>
        <w:spacing w:line="360" w:lineRule="auto"/>
        <w:jc w:val="center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Глубокоуважаемый Михаил Альбертович!</w:t>
      </w:r>
    </w:p>
    <w:p w14:paraId="11E64454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49D817D7" w14:textId="3E26B845" w:rsidR="00682D42" w:rsidRPr="00B91095" w:rsidRDefault="00682D42" w:rsidP="00682D42">
      <w:pPr>
        <w:pStyle w:val="af6"/>
        <w:spacing w:line="360" w:lineRule="auto"/>
        <w:ind w:firstLine="851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В связи с выявленными в ряде </w:t>
      </w: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одобренных Научно-практическим </w:t>
      </w:r>
      <w:r w:rsidR="001E6F9A"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с</w:t>
      </w: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оветом Минздрава России 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клинических рекомендаций </w:t>
      </w:r>
      <w:r w:rsidR="00E92638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препаратов, не содержащих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 молекул действующих веществ, направляю «Заявление о недопустимости включения в российские клинические рекомендации гомеопатических препаратов, а также других препаратов, не содержащих молекул действующих веществ»</w:t>
      </w:r>
      <w:r w:rsidR="00DB4CAE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 (с Приложением)</w:t>
      </w:r>
      <w:r w:rsidR="006B28CA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, принятое Комиссией по борьбе с лженаукой при Экспертном совете РАН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. </w:t>
      </w:r>
    </w:p>
    <w:p w14:paraId="02177E55" w14:textId="77777777" w:rsidR="00682D42" w:rsidRPr="00B91095" w:rsidRDefault="00682D42" w:rsidP="00682D42">
      <w:pPr>
        <w:pStyle w:val="af6"/>
        <w:spacing w:line="360" w:lineRule="auto"/>
        <w:ind w:firstLine="851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Надеюсь на внимательное рассмотрение изложенных в Заявлении рекомендаций</w:t>
      </w:r>
      <w:r w:rsidR="006B28CA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 и предложений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. </w:t>
      </w:r>
    </w:p>
    <w:p w14:paraId="5A563395" w14:textId="0BE6B5E2" w:rsidR="00682D42" w:rsidRPr="00B91095" w:rsidRDefault="00DB4CAE" w:rsidP="00DB4CAE">
      <w:pPr>
        <w:pStyle w:val="af6"/>
        <w:spacing w:line="360" w:lineRule="auto"/>
        <w:ind w:firstLine="851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Приложение: Заявление (на 2</w:t>
      </w:r>
      <w:r w:rsidR="001E6F9A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 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л.), Приложение к Заявлению (на 4</w:t>
      </w:r>
      <w:r w:rsidR="001E6F9A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 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л.). </w:t>
      </w:r>
    </w:p>
    <w:p w14:paraId="3805B785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4E5E325F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0EBF442D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5AA727C5" w14:textId="77777777" w:rsidR="00682D42" w:rsidRPr="00B91095" w:rsidRDefault="00682D42" w:rsidP="00682D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Председатель Комиссии по борьбе с лженаукой </w:t>
      </w:r>
    </w:p>
    <w:p w14:paraId="59AD9DF6" w14:textId="0D2329E0" w:rsidR="00682D42" w:rsidRPr="00B91095" w:rsidRDefault="00682D42" w:rsidP="00682D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при Экспертном совете Российской </w:t>
      </w:r>
      <w:r w:rsidR="007406CA"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а</w:t>
      </w: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кадемии наук, </w:t>
      </w:r>
    </w:p>
    <w:p w14:paraId="7491C7B2" w14:textId="77777777" w:rsidR="00682D42" w:rsidRPr="00B91095" w:rsidRDefault="00682D42" w:rsidP="00682D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академик РАН                                                                                   </w:t>
      </w:r>
      <w:r w:rsidRPr="00B91095">
        <w:rPr>
          <w:rFonts w:ascii="Times New Roman" w:eastAsia="Times New Roman" w:hAnsi="Times New Roman" w:cs="Times New Roman"/>
          <w:i/>
          <w:iCs/>
          <w:color w:val="000000" w:themeColor="text1"/>
          <w:sz w:val="27"/>
          <w:szCs w:val="27"/>
          <w:lang w:eastAsia="ru-RU"/>
        </w:rPr>
        <w:t>Е.Б. Александров</w:t>
      </w: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</w:t>
      </w:r>
    </w:p>
    <w:p w14:paraId="17A6F5FF" w14:textId="77777777" w:rsidR="00682D42" w:rsidRPr="00B91095" w:rsidRDefault="00682D42" w:rsidP="00682D42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</w:p>
    <w:p w14:paraId="7B37F4B3" w14:textId="77777777" w:rsidR="00682D42" w:rsidRPr="00B91095" w:rsidRDefault="00682D42" w:rsidP="00682D42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5 февраля 2025 года, г. Москва </w:t>
      </w:r>
    </w:p>
    <w:p w14:paraId="2CB378A8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7C2881CB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390854DD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0FAC6F8A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653FBF06" w14:textId="60A249CA" w:rsidR="0075176E" w:rsidRDefault="0075176E">
      <w:pPr>
        <w:rPr>
          <w:rFonts w:ascii="Times New Roman" w:eastAsia="Microsoft Sans Serif" w:hAnsi="Times New Roman" w:cs="Times New Roman"/>
          <w:color w:val="333333"/>
          <w:sz w:val="27"/>
          <w:szCs w:val="27"/>
          <w:shd w:val="clear" w:color="auto" w:fill="FFFFFF"/>
          <w:lang w:eastAsia="ru-RU" w:bidi="ru-RU"/>
        </w:rPr>
      </w:pPr>
      <w:r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br w:type="page"/>
      </w:r>
    </w:p>
    <w:p w14:paraId="4CF5A6FE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5990245E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09D0062A" w14:textId="77777777" w:rsidR="006B28CA" w:rsidRPr="00B91095" w:rsidRDefault="006B28CA" w:rsidP="006B28CA">
      <w:pPr>
        <w:pStyle w:val="af6"/>
        <w:spacing w:line="360" w:lineRule="auto"/>
        <w:ind w:firstLine="3119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Руководителю Федеральной службы </w:t>
      </w:r>
    </w:p>
    <w:p w14:paraId="0C892ED6" w14:textId="77777777" w:rsidR="006B28CA" w:rsidRPr="00B91095" w:rsidRDefault="006B28CA" w:rsidP="006B28CA">
      <w:pPr>
        <w:pStyle w:val="af6"/>
        <w:spacing w:line="360" w:lineRule="auto"/>
        <w:ind w:firstLine="3119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по надзору в сфере здравоохранения </w:t>
      </w:r>
    </w:p>
    <w:p w14:paraId="05D6765A" w14:textId="77777777" w:rsidR="00682D42" w:rsidRPr="00B91095" w:rsidRDefault="006B28CA" w:rsidP="006B28CA">
      <w:pPr>
        <w:pStyle w:val="af6"/>
        <w:spacing w:line="360" w:lineRule="auto"/>
        <w:ind w:firstLine="3119"/>
        <w:jc w:val="both"/>
        <w:rPr>
          <w:rFonts w:ascii="Times New Roman" w:hAnsi="Times New Roman" w:cs="Times New Roman"/>
          <w:i/>
          <w:iCs/>
          <w:color w:val="000000" w:themeColor="text1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i/>
          <w:iCs/>
          <w:color w:val="333333"/>
          <w:sz w:val="27"/>
          <w:szCs w:val="27"/>
          <w:shd w:val="clear" w:color="auto" w:fill="FFFFFF"/>
        </w:rPr>
        <w:t>Самойловой Алле Владимировне</w:t>
      </w:r>
    </w:p>
    <w:p w14:paraId="0F870D6D" w14:textId="77777777" w:rsidR="00682D42" w:rsidRPr="00B91095" w:rsidRDefault="00682D42" w:rsidP="00682D42">
      <w:pPr>
        <w:pStyle w:val="af6"/>
        <w:spacing w:line="360" w:lineRule="auto"/>
        <w:ind w:firstLine="3119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4B1AC0F3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5C690683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442BC06F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5D822AEE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65B5C6AC" w14:textId="77777777" w:rsidR="00682D42" w:rsidRPr="00B91095" w:rsidRDefault="00682D42" w:rsidP="00682D42">
      <w:pPr>
        <w:pStyle w:val="af6"/>
        <w:spacing w:line="360" w:lineRule="auto"/>
        <w:jc w:val="center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Глу</w:t>
      </w:r>
      <w:r w:rsidR="006B28CA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бокоуважаемая Алла Владимировна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!</w:t>
      </w:r>
    </w:p>
    <w:p w14:paraId="0993A900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00C729CA" w14:textId="77777777" w:rsidR="00E92638" w:rsidRPr="00B91095" w:rsidRDefault="00E92638" w:rsidP="00E92638">
      <w:pPr>
        <w:pStyle w:val="af6"/>
        <w:spacing w:line="360" w:lineRule="auto"/>
        <w:ind w:firstLine="851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В связи с выявленными в ряде </w:t>
      </w: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одобренных Научно-практическим Советом Минздрава России 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клинических рекомендаций препаратов, не содержащих молекул действующих веществ, направляю «Заявление о недопустимости включения в российские клинические рекомендации гомеопатических препаратов, а также других препаратов, не содержащих молекул действующих веществ»</w:t>
      </w:r>
      <w:r w:rsidR="00DB4CAE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 (с Приложением)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, принятое Комиссией по борьбе с лженаукой при Экспертном совете РАН. </w:t>
      </w:r>
    </w:p>
    <w:p w14:paraId="739AD41D" w14:textId="77777777" w:rsidR="006B28CA" w:rsidRPr="00B91095" w:rsidRDefault="006B28CA" w:rsidP="006B28CA">
      <w:pPr>
        <w:pStyle w:val="af6"/>
        <w:spacing w:line="360" w:lineRule="auto"/>
        <w:ind w:firstLine="851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Надеюсь на внимательное рассмотрение изложенных в Заявлении рекомендаций и предложений. </w:t>
      </w:r>
    </w:p>
    <w:p w14:paraId="15C86369" w14:textId="1A8F927E" w:rsidR="00682D42" w:rsidRPr="00B91095" w:rsidRDefault="00DB4CAE" w:rsidP="00DB4CAE">
      <w:pPr>
        <w:pStyle w:val="af6"/>
        <w:spacing w:line="360" w:lineRule="auto"/>
        <w:ind w:firstLine="851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Приложение: Заявление (на 2</w:t>
      </w:r>
      <w:r w:rsidR="001E6F9A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 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>л.), Приложение к Заявлению (на 4</w:t>
      </w:r>
      <w:r w:rsidR="001E6F9A"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 </w:t>
      </w:r>
      <w:r w:rsidRPr="00B91095"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  <w:t xml:space="preserve">л.). </w:t>
      </w:r>
    </w:p>
    <w:p w14:paraId="439A705C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16D562A0" w14:textId="77777777" w:rsidR="00682D42" w:rsidRPr="00B91095" w:rsidRDefault="00682D42" w:rsidP="00682D42">
      <w:pPr>
        <w:pStyle w:val="af6"/>
        <w:spacing w:line="360" w:lineRule="auto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13354881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7E2B2F10" w14:textId="77777777" w:rsidR="00682D42" w:rsidRPr="00B91095" w:rsidRDefault="00682D42" w:rsidP="00682D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Председатель Комиссии по борьбе с лженаукой </w:t>
      </w:r>
    </w:p>
    <w:p w14:paraId="59B96D7A" w14:textId="190A22A9" w:rsidR="00682D42" w:rsidRPr="00B91095" w:rsidRDefault="00682D42" w:rsidP="00682D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при Экспертном совете Российской </w:t>
      </w:r>
      <w:r w:rsidR="007406CA"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а</w:t>
      </w: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кадемии наук, </w:t>
      </w:r>
    </w:p>
    <w:p w14:paraId="39A9B41E" w14:textId="77777777" w:rsidR="00682D42" w:rsidRPr="00B91095" w:rsidRDefault="00682D42" w:rsidP="00682D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академик РАН                                                                                   </w:t>
      </w:r>
      <w:r w:rsidRPr="00B91095">
        <w:rPr>
          <w:rFonts w:ascii="Times New Roman" w:eastAsia="Times New Roman" w:hAnsi="Times New Roman" w:cs="Times New Roman"/>
          <w:i/>
          <w:iCs/>
          <w:color w:val="000000" w:themeColor="text1"/>
          <w:sz w:val="27"/>
          <w:szCs w:val="27"/>
          <w:lang w:eastAsia="ru-RU"/>
        </w:rPr>
        <w:t>Е.Б. Александров</w:t>
      </w: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</w:t>
      </w:r>
    </w:p>
    <w:p w14:paraId="3E6FB1B9" w14:textId="77777777" w:rsidR="00682D42" w:rsidRPr="00B91095" w:rsidRDefault="00682D42" w:rsidP="00682D42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</w:p>
    <w:p w14:paraId="5E01E357" w14:textId="77777777" w:rsidR="00682D42" w:rsidRPr="00B91095" w:rsidRDefault="00682D42" w:rsidP="00682D42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91095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5 февраля 2025 года, г. Москва </w:t>
      </w:r>
    </w:p>
    <w:p w14:paraId="097B7858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p w14:paraId="60C4857C" w14:textId="77777777" w:rsidR="00682D42" w:rsidRPr="00B91095" w:rsidRDefault="00682D42" w:rsidP="00682D42">
      <w:pPr>
        <w:pStyle w:val="af6"/>
        <w:jc w:val="both"/>
        <w:rPr>
          <w:rFonts w:ascii="Times New Roman" w:hAnsi="Times New Roman" w:cs="Times New Roman"/>
          <w:color w:val="333333"/>
          <w:sz w:val="27"/>
          <w:szCs w:val="27"/>
          <w:shd w:val="clear" w:color="auto" w:fill="FFFFFF"/>
        </w:rPr>
      </w:pPr>
    </w:p>
    <w:sectPr w:rsidR="00682D42" w:rsidRPr="00B910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9A2BC" w14:textId="77777777" w:rsidR="00BF0D57" w:rsidRDefault="00BF0D57">
      <w:pPr>
        <w:spacing w:after="0" w:line="240" w:lineRule="auto"/>
      </w:pPr>
      <w:r>
        <w:separator/>
      </w:r>
    </w:p>
  </w:endnote>
  <w:endnote w:type="continuationSeparator" w:id="0">
    <w:p w14:paraId="74B13EAB" w14:textId="77777777" w:rsidR="00BF0D57" w:rsidRDefault="00BF0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loproctology-Regular">
    <w:charset w:val="00"/>
    <w:family w:val="auto"/>
    <w:pitch w:val="default"/>
  </w:font>
  <w:font w:name="Coloproctology-Bold">
    <w:charset w:val="00"/>
    <w:family w:val="auto"/>
    <w:pitch w:val="default"/>
  </w:font>
  <w:font w:name="Coloproctology-Italic">
    <w:charset w:val="00"/>
    <w:family w:val="auto"/>
    <w:pitch w:val="default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5D31E1" w14:textId="77777777" w:rsidR="00BF0D57" w:rsidRDefault="00BF0D57">
      <w:pPr>
        <w:spacing w:after="0" w:line="240" w:lineRule="auto"/>
      </w:pPr>
      <w:r>
        <w:separator/>
      </w:r>
    </w:p>
  </w:footnote>
  <w:footnote w:type="continuationSeparator" w:id="0">
    <w:p w14:paraId="02C7F7B2" w14:textId="77777777" w:rsidR="00BF0D57" w:rsidRDefault="00BF0D57">
      <w:pPr>
        <w:spacing w:after="0" w:line="240" w:lineRule="auto"/>
      </w:pPr>
      <w:r>
        <w:continuationSeparator/>
      </w:r>
    </w:p>
  </w:footnote>
  <w:footnote w:id="1">
    <w:p w14:paraId="33AA2570" w14:textId="701C8A4B" w:rsidR="00DB4CAE" w:rsidRDefault="00DB4CAE" w:rsidP="00DB4CAE">
      <w:pPr>
        <w:pStyle w:val="af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Style w:val="af8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Федеральный закон </w:t>
      </w:r>
      <w:r w:rsidR="00D807BF">
        <w:rPr>
          <w:rFonts w:ascii="Times New Roman" w:hAnsi="Times New Roman" w:cs="Times New Roman"/>
          <w:sz w:val="18"/>
          <w:szCs w:val="18"/>
        </w:rPr>
        <w:t>«</w:t>
      </w:r>
      <w:r>
        <w:rPr>
          <w:rFonts w:ascii="Times New Roman" w:hAnsi="Times New Roman" w:cs="Times New Roman"/>
          <w:sz w:val="18"/>
          <w:szCs w:val="18"/>
        </w:rPr>
        <w:t>Об обращении лекарственных средств</w:t>
      </w:r>
      <w:r w:rsidR="00D807BF">
        <w:rPr>
          <w:rFonts w:ascii="Times New Roman" w:hAnsi="Times New Roman" w:cs="Times New Roman"/>
          <w:sz w:val="18"/>
          <w:szCs w:val="18"/>
        </w:rPr>
        <w:t>»</w:t>
      </w:r>
      <w:r>
        <w:rPr>
          <w:rFonts w:ascii="Times New Roman" w:hAnsi="Times New Roman" w:cs="Times New Roman"/>
          <w:sz w:val="18"/>
          <w:szCs w:val="18"/>
        </w:rPr>
        <w:t xml:space="preserve"> от 12.04.2010 N 61-ФЗ (ред. от 26.12.2024 №494-ФЗ).</w:t>
      </w:r>
    </w:p>
    <w:p w14:paraId="216B013F" w14:textId="777777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0"/>
          <w:szCs w:val="10"/>
        </w:rPr>
      </w:pPr>
    </w:p>
  </w:footnote>
  <w:footnote w:id="2">
    <w:p w14:paraId="211B9346" w14:textId="6FEFFA00" w:rsidR="00DB4CAE" w:rsidRDefault="00DB4CAE" w:rsidP="00DB4CAE">
      <w:pPr>
        <w:pStyle w:val="af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Style w:val="af8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Ю.В. Новаковская. </w:t>
      </w:r>
      <w:r w:rsidR="006D5E93">
        <w:rPr>
          <w:rFonts w:ascii="Times New Roman" w:hAnsi="Times New Roman" w:cs="Times New Roman"/>
          <w:sz w:val="18"/>
          <w:szCs w:val="18"/>
        </w:rPr>
        <w:t xml:space="preserve">Молекула. </w:t>
      </w:r>
      <w:r w:rsidR="006D5E93" w:rsidRPr="004A1413">
        <w:rPr>
          <w:rFonts w:ascii="Times New Roman" w:hAnsi="Times New Roman" w:cs="Times New Roman"/>
          <w:i/>
          <w:iCs/>
          <w:sz w:val="18"/>
          <w:szCs w:val="18"/>
        </w:rPr>
        <w:t xml:space="preserve">Большая </w:t>
      </w:r>
      <w:r w:rsidR="006D5E93">
        <w:rPr>
          <w:rFonts w:ascii="Times New Roman" w:hAnsi="Times New Roman" w:cs="Times New Roman"/>
          <w:i/>
          <w:iCs/>
          <w:sz w:val="18"/>
          <w:szCs w:val="18"/>
        </w:rPr>
        <w:t>р</w:t>
      </w:r>
      <w:r w:rsidR="006D5E93" w:rsidRPr="004A1413">
        <w:rPr>
          <w:rFonts w:ascii="Times New Roman" w:hAnsi="Times New Roman" w:cs="Times New Roman"/>
          <w:i/>
          <w:iCs/>
          <w:sz w:val="18"/>
          <w:szCs w:val="18"/>
        </w:rPr>
        <w:t>оссийская энциклопедия</w:t>
      </w:r>
      <w:r w:rsidR="006D5E93">
        <w:rPr>
          <w:rFonts w:ascii="Times New Roman" w:hAnsi="Times New Roman" w:cs="Times New Roman"/>
          <w:sz w:val="18"/>
          <w:szCs w:val="18"/>
        </w:rPr>
        <w:t>. 2012</w:t>
      </w:r>
      <w:r w:rsidR="004A1413">
        <w:rPr>
          <w:rFonts w:ascii="Times New Roman" w:hAnsi="Times New Roman" w:cs="Times New Roman"/>
          <w:sz w:val="18"/>
          <w:szCs w:val="18"/>
        </w:rPr>
        <w:t xml:space="preserve">. </w:t>
      </w:r>
      <w:r>
        <w:rPr>
          <w:rFonts w:ascii="Times New Roman" w:hAnsi="Times New Roman" w:cs="Times New Roman"/>
          <w:sz w:val="18"/>
          <w:szCs w:val="18"/>
        </w:rPr>
        <w:t>Посл. обновл. 22 сентября 2023 г.</w:t>
      </w:r>
      <w:r w:rsidR="0011533F" w:rsidRPr="004A1413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hyperlink r:id="rId1" w:history="1">
        <w:r w:rsidR="0011533F" w:rsidRPr="00EC2CB3">
          <w:rPr>
            <w:rStyle w:val="af9"/>
            <w:rFonts w:ascii="Times New Roman" w:hAnsi="Times New Roman" w:cs="Times New Roman"/>
            <w:sz w:val="18"/>
            <w:szCs w:val="18"/>
          </w:rPr>
          <w:t>https://bigenc.ru/c/molekula-de7079</w:t>
        </w:r>
      </w:hyperlink>
      <w:r>
        <w:rPr>
          <w:rFonts w:ascii="Times New Roman" w:hAnsi="Times New Roman" w:cs="Times New Roman"/>
          <w:sz w:val="18"/>
          <w:szCs w:val="18"/>
        </w:rPr>
        <w:t>.</w:t>
      </w:r>
    </w:p>
    <w:p w14:paraId="39ED9F8C" w14:textId="777777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0"/>
          <w:szCs w:val="10"/>
        </w:rPr>
      </w:pPr>
    </w:p>
  </w:footnote>
  <w:footnote w:id="3">
    <w:p w14:paraId="6C0EA3C2" w14:textId="5B1AD9A0" w:rsidR="00384321" w:rsidRPr="00384321" w:rsidRDefault="00384321">
      <w:pPr>
        <w:pStyle w:val="af6"/>
        <w:rPr>
          <w:rFonts w:ascii="Times New Roman" w:hAnsi="Times New Roman" w:cs="Times New Roman"/>
          <w:sz w:val="18"/>
          <w:szCs w:val="18"/>
        </w:rPr>
      </w:pPr>
      <w:r w:rsidRPr="00384321">
        <w:rPr>
          <w:rStyle w:val="af8"/>
          <w:rFonts w:ascii="Times New Roman" w:hAnsi="Times New Roman" w:cs="Times New Roman"/>
          <w:sz w:val="18"/>
          <w:szCs w:val="18"/>
        </w:rPr>
        <w:footnoteRef/>
      </w:r>
      <w:r w:rsidRPr="00384321">
        <w:rPr>
          <w:rFonts w:ascii="Times New Roman" w:hAnsi="Times New Roman" w:cs="Times New Roman"/>
          <w:sz w:val="18"/>
          <w:szCs w:val="18"/>
        </w:rPr>
        <w:t xml:space="preserve"> Определение Судебной коллегии по гражданским делам Верховного Суда Российской Федерации от 21.08.2023 N 16-КГ 23-23-К4 (УИД 34RS0011-01-2021-000964-25)</w:t>
      </w:r>
      <w:r w:rsidR="005E2B64">
        <w:rPr>
          <w:rFonts w:ascii="Times New Roman" w:hAnsi="Times New Roman" w:cs="Times New Roman"/>
          <w:sz w:val="18"/>
          <w:szCs w:val="18"/>
        </w:rPr>
        <w:t xml:space="preserve">, </w:t>
      </w:r>
      <w:hyperlink r:id="rId2" w:history="1">
        <w:r w:rsidR="005E2B64" w:rsidRPr="00EC2CB3">
          <w:rPr>
            <w:rStyle w:val="af9"/>
            <w:rFonts w:ascii="Times New Roman" w:hAnsi="Times New Roman" w:cs="Times New Roman"/>
            <w:sz w:val="18"/>
            <w:szCs w:val="18"/>
          </w:rPr>
          <w:t>https://www.garant.ru/products/ipo/prime/doc/407555346/</w:t>
        </w:r>
      </w:hyperlink>
      <w:r>
        <w:rPr>
          <w:rFonts w:ascii="Times New Roman" w:hAnsi="Times New Roman" w:cs="Times New Roman"/>
          <w:sz w:val="18"/>
          <w:szCs w:val="18"/>
        </w:rPr>
        <w:t xml:space="preserve">. </w:t>
      </w:r>
    </w:p>
  </w:footnote>
  <w:footnote w:id="4">
    <w:p w14:paraId="08AD4AE2" w14:textId="777777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0"/>
          <w:szCs w:val="10"/>
        </w:rPr>
      </w:pPr>
    </w:p>
    <w:p w14:paraId="7B1E67E3" w14:textId="38EFC096" w:rsidR="00DB4CAE" w:rsidRDefault="00DB4CAE" w:rsidP="00DB4CAE">
      <w:pPr>
        <w:pStyle w:val="af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Style w:val="af8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Национальное научное общество инфекционистов, Российское научное медицинское общество терапевтов. Клинические рекомендации «Острые респираторные вирусные инфекции (ОРВИ) у взрослых», </w:t>
      </w:r>
      <w:r>
        <w:rPr>
          <w:rFonts w:ascii="Times New Roman" w:hAnsi="Times New Roman" w:cs="Times New Roman"/>
          <w:sz w:val="18"/>
          <w:szCs w:val="18"/>
        </w:rPr>
        <w:t>2021 (одобрены Научно-практическим советом Минздрава России)</w:t>
      </w:r>
      <w:r w:rsidR="005E2B64" w:rsidRPr="004A1413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hyperlink r:id="rId3" w:history="1">
        <w:r w:rsidR="0044543C" w:rsidRPr="00EC2CB3">
          <w:rPr>
            <w:rStyle w:val="af9"/>
            <w:rFonts w:ascii="Times New Roman" w:hAnsi="Times New Roman" w:cs="Times New Roman"/>
            <w:sz w:val="18"/>
            <w:szCs w:val="18"/>
          </w:rPr>
          <w:t>https://www.consultant.ru/document/cons_doc_LAW_409729</w:t>
        </w:r>
      </w:hyperlink>
      <w:r>
        <w:rPr>
          <w:rFonts w:ascii="Times New Roman" w:hAnsi="Times New Roman" w:cs="Times New Roman"/>
          <w:sz w:val="18"/>
          <w:szCs w:val="18"/>
        </w:rPr>
        <w:t>.</w:t>
      </w:r>
    </w:p>
    <w:p w14:paraId="58845A9C" w14:textId="777777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0"/>
          <w:szCs w:val="10"/>
        </w:rPr>
      </w:pPr>
    </w:p>
  </w:footnote>
  <w:footnote w:id="5">
    <w:p w14:paraId="68950948" w14:textId="663E56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Style w:val="af8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Российская гастроэнтерологическая ассоциация, Ассоциация колопроктологов России. Клинические рекомендации «Синдром раздраженного кишечника» (взрослые), 2021 (одобрены Научно-практическим советом Минздрава России)</w:t>
      </w:r>
      <w:r w:rsidR="0044543C" w:rsidRPr="004A1413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hyperlink r:id="rId4" w:history="1">
        <w:r w:rsidR="0044543C" w:rsidRPr="00EC2CB3">
          <w:rPr>
            <w:rStyle w:val="af9"/>
            <w:rFonts w:ascii="Times New Roman" w:hAnsi="Times New Roman" w:cs="Times New Roman"/>
            <w:sz w:val="18"/>
            <w:szCs w:val="18"/>
          </w:rPr>
          <w:t>https://www.consultant.ru/document/cons_doc_LAW_388804</w:t>
        </w:r>
      </w:hyperlink>
      <w:r>
        <w:rPr>
          <w:rFonts w:ascii="Times New Roman" w:hAnsi="Times New Roman" w:cs="Times New Roman"/>
          <w:sz w:val="18"/>
          <w:szCs w:val="18"/>
        </w:rPr>
        <w:t>.</w:t>
      </w:r>
    </w:p>
  </w:footnote>
  <w:footnote w:id="6">
    <w:p w14:paraId="3891FD9A" w14:textId="777777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0"/>
          <w:szCs w:val="10"/>
        </w:rPr>
      </w:pPr>
    </w:p>
    <w:p w14:paraId="53BACCBE" w14:textId="00880F04" w:rsidR="00DB4CAE" w:rsidRDefault="00DB4CAE" w:rsidP="00DB4CAE">
      <w:pPr>
        <w:pStyle w:val="af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Style w:val="af8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Российская гастроэнтерологическая ассоциация, Научное общество по содействию клиническому изучению микробиома человека, Ассоциация колопроктологов России, Союз педиатров России, Российское общество детских гастроэнтерологов, гепатологов и нутрициологов. Клинические рекомендации «Синдром раздраженного кишечника» (взрослые, дети), 2024 (одобрены Научно-практическим советом Минздрава России)</w:t>
      </w:r>
      <w:r w:rsidR="0044543C" w:rsidRPr="004A1413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hyperlink r:id="rId5" w:history="1">
        <w:r w:rsidR="0044543C" w:rsidRPr="00EC2CB3">
          <w:rPr>
            <w:rStyle w:val="af9"/>
            <w:rFonts w:ascii="Times New Roman" w:hAnsi="Times New Roman" w:cs="Times New Roman"/>
            <w:sz w:val="18"/>
            <w:szCs w:val="18"/>
          </w:rPr>
          <w:t>https://cr.minzdrav.gov.ru/view-cr/892_1</w:t>
        </w:r>
      </w:hyperlink>
      <w:r>
        <w:rPr>
          <w:rFonts w:ascii="Times New Roman" w:hAnsi="Times New Roman" w:cs="Times New Roman"/>
          <w:sz w:val="18"/>
          <w:szCs w:val="18"/>
        </w:rPr>
        <w:t>.</w:t>
      </w:r>
    </w:p>
  </w:footnote>
  <w:footnote w:id="7">
    <w:p w14:paraId="404D8005" w14:textId="777777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0"/>
          <w:szCs w:val="10"/>
        </w:rPr>
      </w:pPr>
    </w:p>
    <w:p w14:paraId="78352857" w14:textId="31364611" w:rsidR="00DB4CAE" w:rsidRDefault="00DB4CAE" w:rsidP="00DB4CAE">
      <w:pPr>
        <w:pStyle w:val="af6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>
        <w:rPr>
          <w:rStyle w:val="af8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Национальная медицинская ассоциация отоларингологов</w:t>
      </w:r>
      <w:r w:rsidR="00782FC1">
        <w:rPr>
          <w:rFonts w:ascii="Times New Roman" w:hAnsi="Times New Roman" w:cs="Times New Roman"/>
          <w:sz w:val="18"/>
          <w:szCs w:val="18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Клинические рекомендации «Острый синусит» (взрослые, дети), 2021 (одобрены Научно-практическим советом Минздрава России)</w:t>
      </w:r>
      <w:r w:rsidR="0044543C" w:rsidRPr="004A1413">
        <w:rPr>
          <w:rFonts w:ascii="Times New Roman" w:hAnsi="Times New Roman" w:cs="Times New Roman"/>
          <w:sz w:val="18"/>
          <w:szCs w:val="18"/>
        </w:rPr>
        <w:t>,</w:t>
      </w:r>
      <w:r w:rsidR="004A1413">
        <w:rPr>
          <w:rFonts w:ascii="Times New Roman" w:hAnsi="Times New Roman" w:cs="Times New Roman"/>
          <w:sz w:val="18"/>
          <w:szCs w:val="18"/>
        </w:rPr>
        <w:t xml:space="preserve"> </w:t>
      </w:r>
      <w:hyperlink r:id="rId6" w:history="1">
        <w:r w:rsidR="004A1413" w:rsidRPr="00EC2CB3">
          <w:rPr>
            <w:rStyle w:val="af9"/>
            <w:rFonts w:ascii="Times New Roman" w:hAnsi="Times New Roman" w:cs="Times New Roman"/>
            <w:sz w:val="18"/>
            <w:szCs w:val="18"/>
          </w:rPr>
          <w:t>https://diseases.medelement.com/disease/84-2021/16940</w:t>
        </w:r>
      </w:hyperlink>
      <w:r w:rsidR="004A1413">
        <w:rPr>
          <w:rFonts w:ascii="Times New Roman" w:hAnsi="Times New Roman" w:cs="Times New Roman"/>
          <w:sz w:val="18"/>
          <w:szCs w:val="18"/>
        </w:rPr>
        <w:t>.</w:t>
      </w:r>
    </w:p>
  </w:footnote>
  <w:footnote w:id="8">
    <w:p w14:paraId="2A597A5B" w14:textId="777777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0"/>
          <w:szCs w:val="10"/>
        </w:rPr>
      </w:pPr>
    </w:p>
    <w:p w14:paraId="45B7CC80" w14:textId="0A2ACD4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Style w:val="af8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Национальная медицинская ассоциация отоларингологов</w:t>
      </w:r>
      <w:r w:rsidR="00782FC1">
        <w:rPr>
          <w:rFonts w:ascii="Times New Roman" w:hAnsi="Times New Roman" w:cs="Times New Roman"/>
          <w:sz w:val="18"/>
          <w:szCs w:val="18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Клинические рекомендации «Острый синусит» (взрослые, дети), 2024 (одобрены Научно-практическим советом Минздрава России)</w:t>
      </w:r>
      <w:r w:rsidR="006F26FA" w:rsidRPr="004A1413">
        <w:rPr>
          <w:rFonts w:ascii="Times New Roman" w:hAnsi="Times New Roman" w:cs="Times New Roman"/>
          <w:sz w:val="18"/>
          <w:szCs w:val="18"/>
        </w:rPr>
        <w:t xml:space="preserve">, </w:t>
      </w:r>
      <w:hyperlink r:id="rId7" w:history="1">
        <w:r w:rsidR="006F26FA" w:rsidRPr="00EC2CB3">
          <w:rPr>
            <w:rStyle w:val="af9"/>
            <w:rFonts w:ascii="Times New Roman" w:hAnsi="Times New Roman" w:cs="Times New Roman"/>
            <w:sz w:val="18"/>
            <w:szCs w:val="18"/>
          </w:rPr>
          <w:t>https://diseases.medelement.com/disease/острый-синусит-кр-рф-2024/18274</w:t>
        </w:r>
      </w:hyperlink>
      <w:r>
        <w:rPr>
          <w:rFonts w:ascii="Times New Roman" w:hAnsi="Times New Roman" w:cs="Times New Roman"/>
          <w:sz w:val="18"/>
          <w:szCs w:val="18"/>
        </w:rPr>
        <w:t>.</w:t>
      </w:r>
    </w:p>
    <w:p w14:paraId="372D235E" w14:textId="77777777" w:rsidR="00DB4CAE" w:rsidRDefault="00DB4CAE" w:rsidP="00DB4CAE">
      <w:pPr>
        <w:pStyle w:val="af6"/>
        <w:jc w:val="both"/>
        <w:rPr>
          <w:rFonts w:ascii="Times New Roman" w:hAnsi="Times New Roman" w:cs="Times New Roman"/>
          <w:sz w:val="10"/>
          <w:szCs w:val="10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549E6"/>
    <w:multiLevelType w:val="hybridMultilevel"/>
    <w:tmpl w:val="61542A0C"/>
    <w:lvl w:ilvl="0" w:tplc="910CEB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3882FE">
      <w:start w:val="1"/>
      <w:numFmt w:val="lowerLetter"/>
      <w:lvlText w:val="%2."/>
      <w:lvlJc w:val="left"/>
      <w:pPr>
        <w:ind w:left="1440" w:hanging="360"/>
      </w:pPr>
    </w:lvl>
    <w:lvl w:ilvl="2" w:tplc="F01E6EDA">
      <w:start w:val="1"/>
      <w:numFmt w:val="lowerRoman"/>
      <w:lvlText w:val="%3."/>
      <w:lvlJc w:val="right"/>
      <w:pPr>
        <w:ind w:left="2160" w:hanging="180"/>
      </w:pPr>
    </w:lvl>
    <w:lvl w:ilvl="3" w:tplc="35545EF8">
      <w:start w:val="1"/>
      <w:numFmt w:val="decimal"/>
      <w:lvlText w:val="%4."/>
      <w:lvlJc w:val="left"/>
      <w:pPr>
        <w:ind w:left="2880" w:hanging="360"/>
      </w:pPr>
    </w:lvl>
    <w:lvl w:ilvl="4" w:tplc="CF50B700">
      <w:start w:val="1"/>
      <w:numFmt w:val="lowerLetter"/>
      <w:lvlText w:val="%5."/>
      <w:lvlJc w:val="left"/>
      <w:pPr>
        <w:ind w:left="3600" w:hanging="360"/>
      </w:pPr>
    </w:lvl>
    <w:lvl w:ilvl="5" w:tplc="0D7C9A18">
      <w:start w:val="1"/>
      <w:numFmt w:val="lowerRoman"/>
      <w:lvlText w:val="%6."/>
      <w:lvlJc w:val="right"/>
      <w:pPr>
        <w:ind w:left="4320" w:hanging="180"/>
      </w:pPr>
    </w:lvl>
    <w:lvl w:ilvl="6" w:tplc="0B94AE72">
      <w:start w:val="1"/>
      <w:numFmt w:val="decimal"/>
      <w:lvlText w:val="%7."/>
      <w:lvlJc w:val="left"/>
      <w:pPr>
        <w:ind w:left="5040" w:hanging="360"/>
      </w:pPr>
    </w:lvl>
    <w:lvl w:ilvl="7" w:tplc="EA1CBF22">
      <w:start w:val="1"/>
      <w:numFmt w:val="lowerLetter"/>
      <w:lvlText w:val="%8."/>
      <w:lvlJc w:val="left"/>
      <w:pPr>
        <w:ind w:left="5760" w:hanging="360"/>
      </w:pPr>
    </w:lvl>
    <w:lvl w:ilvl="8" w:tplc="1760154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327227"/>
    <w:multiLevelType w:val="hybridMultilevel"/>
    <w:tmpl w:val="20DE6E74"/>
    <w:lvl w:ilvl="0" w:tplc="C45ED33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28942D3A">
      <w:start w:val="1"/>
      <w:numFmt w:val="lowerLetter"/>
      <w:lvlText w:val="%2."/>
      <w:lvlJc w:val="left"/>
      <w:pPr>
        <w:ind w:left="1620" w:hanging="360"/>
      </w:pPr>
    </w:lvl>
    <w:lvl w:ilvl="2" w:tplc="5BD69544">
      <w:start w:val="1"/>
      <w:numFmt w:val="lowerRoman"/>
      <w:lvlText w:val="%3."/>
      <w:lvlJc w:val="right"/>
      <w:pPr>
        <w:ind w:left="2340" w:hanging="180"/>
      </w:pPr>
    </w:lvl>
    <w:lvl w:ilvl="3" w:tplc="B49E9FE2">
      <w:start w:val="1"/>
      <w:numFmt w:val="decimal"/>
      <w:lvlText w:val="%4."/>
      <w:lvlJc w:val="left"/>
      <w:pPr>
        <w:ind w:left="3060" w:hanging="360"/>
      </w:pPr>
    </w:lvl>
    <w:lvl w:ilvl="4" w:tplc="3288DE24">
      <w:start w:val="1"/>
      <w:numFmt w:val="lowerLetter"/>
      <w:lvlText w:val="%5."/>
      <w:lvlJc w:val="left"/>
      <w:pPr>
        <w:ind w:left="3780" w:hanging="360"/>
      </w:pPr>
    </w:lvl>
    <w:lvl w:ilvl="5" w:tplc="C43CE5D8">
      <w:start w:val="1"/>
      <w:numFmt w:val="lowerRoman"/>
      <w:lvlText w:val="%6."/>
      <w:lvlJc w:val="right"/>
      <w:pPr>
        <w:ind w:left="4500" w:hanging="180"/>
      </w:pPr>
    </w:lvl>
    <w:lvl w:ilvl="6" w:tplc="3F062E18">
      <w:start w:val="1"/>
      <w:numFmt w:val="decimal"/>
      <w:lvlText w:val="%7."/>
      <w:lvlJc w:val="left"/>
      <w:pPr>
        <w:ind w:left="5220" w:hanging="360"/>
      </w:pPr>
    </w:lvl>
    <w:lvl w:ilvl="7" w:tplc="A09AA940">
      <w:start w:val="1"/>
      <w:numFmt w:val="lowerLetter"/>
      <w:lvlText w:val="%8."/>
      <w:lvlJc w:val="left"/>
      <w:pPr>
        <w:ind w:left="5940" w:hanging="360"/>
      </w:pPr>
    </w:lvl>
    <w:lvl w:ilvl="8" w:tplc="8C9E0E88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246145A0"/>
    <w:multiLevelType w:val="hybridMultilevel"/>
    <w:tmpl w:val="9452ABE4"/>
    <w:lvl w:ilvl="0" w:tplc="BFB29A70">
      <w:start w:val="1"/>
      <w:numFmt w:val="decimal"/>
      <w:lvlText w:val="%1."/>
      <w:lvlJc w:val="left"/>
      <w:pPr>
        <w:ind w:left="720" w:hanging="360"/>
      </w:pPr>
    </w:lvl>
    <w:lvl w:ilvl="1" w:tplc="2174ACB4">
      <w:start w:val="1"/>
      <w:numFmt w:val="lowerLetter"/>
      <w:lvlText w:val="%2."/>
      <w:lvlJc w:val="left"/>
      <w:pPr>
        <w:ind w:left="1440" w:hanging="360"/>
      </w:pPr>
    </w:lvl>
    <w:lvl w:ilvl="2" w:tplc="00AACF26">
      <w:start w:val="1"/>
      <w:numFmt w:val="lowerRoman"/>
      <w:lvlText w:val="%3."/>
      <w:lvlJc w:val="right"/>
      <w:pPr>
        <w:ind w:left="2160" w:hanging="180"/>
      </w:pPr>
    </w:lvl>
    <w:lvl w:ilvl="3" w:tplc="6FE88430">
      <w:start w:val="1"/>
      <w:numFmt w:val="decimal"/>
      <w:lvlText w:val="%4."/>
      <w:lvlJc w:val="left"/>
      <w:pPr>
        <w:ind w:left="2880" w:hanging="360"/>
      </w:pPr>
    </w:lvl>
    <w:lvl w:ilvl="4" w:tplc="C3A629E8">
      <w:start w:val="1"/>
      <w:numFmt w:val="lowerLetter"/>
      <w:lvlText w:val="%5."/>
      <w:lvlJc w:val="left"/>
      <w:pPr>
        <w:ind w:left="3600" w:hanging="360"/>
      </w:pPr>
    </w:lvl>
    <w:lvl w:ilvl="5" w:tplc="36B40092">
      <w:start w:val="1"/>
      <w:numFmt w:val="lowerRoman"/>
      <w:lvlText w:val="%6."/>
      <w:lvlJc w:val="right"/>
      <w:pPr>
        <w:ind w:left="4320" w:hanging="180"/>
      </w:pPr>
    </w:lvl>
    <w:lvl w:ilvl="6" w:tplc="2B688F4A">
      <w:start w:val="1"/>
      <w:numFmt w:val="decimal"/>
      <w:lvlText w:val="%7."/>
      <w:lvlJc w:val="left"/>
      <w:pPr>
        <w:ind w:left="5040" w:hanging="360"/>
      </w:pPr>
    </w:lvl>
    <w:lvl w:ilvl="7" w:tplc="6B1808CE">
      <w:start w:val="1"/>
      <w:numFmt w:val="lowerLetter"/>
      <w:lvlText w:val="%8."/>
      <w:lvlJc w:val="left"/>
      <w:pPr>
        <w:ind w:left="5760" w:hanging="360"/>
      </w:pPr>
    </w:lvl>
    <w:lvl w:ilvl="8" w:tplc="27880C6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AD6389"/>
    <w:multiLevelType w:val="hybridMultilevel"/>
    <w:tmpl w:val="9452ABE4"/>
    <w:lvl w:ilvl="0" w:tplc="BFB29A70">
      <w:start w:val="1"/>
      <w:numFmt w:val="decimal"/>
      <w:lvlText w:val="%1."/>
      <w:lvlJc w:val="left"/>
      <w:pPr>
        <w:ind w:left="720" w:hanging="360"/>
      </w:pPr>
    </w:lvl>
    <w:lvl w:ilvl="1" w:tplc="2174ACB4">
      <w:start w:val="1"/>
      <w:numFmt w:val="lowerLetter"/>
      <w:lvlText w:val="%2."/>
      <w:lvlJc w:val="left"/>
      <w:pPr>
        <w:ind w:left="1440" w:hanging="360"/>
      </w:pPr>
    </w:lvl>
    <w:lvl w:ilvl="2" w:tplc="00AACF26">
      <w:start w:val="1"/>
      <w:numFmt w:val="lowerRoman"/>
      <w:lvlText w:val="%3."/>
      <w:lvlJc w:val="right"/>
      <w:pPr>
        <w:ind w:left="2160" w:hanging="180"/>
      </w:pPr>
    </w:lvl>
    <w:lvl w:ilvl="3" w:tplc="6FE88430">
      <w:start w:val="1"/>
      <w:numFmt w:val="decimal"/>
      <w:lvlText w:val="%4."/>
      <w:lvlJc w:val="left"/>
      <w:pPr>
        <w:ind w:left="2880" w:hanging="360"/>
      </w:pPr>
    </w:lvl>
    <w:lvl w:ilvl="4" w:tplc="C3A629E8">
      <w:start w:val="1"/>
      <w:numFmt w:val="lowerLetter"/>
      <w:lvlText w:val="%5."/>
      <w:lvlJc w:val="left"/>
      <w:pPr>
        <w:ind w:left="3600" w:hanging="360"/>
      </w:pPr>
    </w:lvl>
    <w:lvl w:ilvl="5" w:tplc="36B40092">
      <w:start w:val="1"/>
      <w:numFmt w:val="lowerRoman"/>
      <w:lvlText w:val="%6."/>
      <w:lvlJc w:val="right"/>
      <w:pPr>
        <w:ind w:left="4320" w:hanging="180"/>
      </w:pPr>
    </w:lvl>
    <w:lvl w:ilvl="6" w:tplc="2B688F4A">
      <w:start w:val="1"/>
      <w:numFmt w:val="decimal"/>
      <w:lvlText w:val="%7."/>
      <w:lvlJc w:val="left"/>
      <w:pPr>
        <w:ind w:left="5040" w:hanging="360"/>
      </w:pPr>
    </w:lvl>
    <w:lvl w:ilvl="7" w:tplc="6B1808CE">
      <w:start w:val="1"/>
      <w:numFmt w:val="lowerLetter"/>
      <w:lvlText w:val="%8."/>
      <w:lvlJc w:val="left"/>
      <w:pPr>
        <w:ind w:left="5760" w:hanging="360"/>
      </w:pPr>
    </w:lvl>
    <w:lvl w:ilvl="8" w:tplc="27880C6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trackRevision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FBD"/>
    <w:rsid w:val="00016577"/>
    <w:rsid w:val="000B1119"/>
    <w:rsid w:val="000D58FA"/>
    <w:rsid w:val="000F4FBD"/>
    <w:rsid w:val="0011533F"/>
    <w:rsid w:val="0012616D"/>
    <w:rsid w:val="0013719B"/>
    <w:rsid w:val="001A36AD"/>
    <w:rsid w:val="001C6D7E"/>
    <w:rsid w:val="001E6F9A"/>
    <w:rsid w:val="001E7B4C"/>
    <w:rsid w:val="00202681"/>
    <w:rsid w:val="00210BB6"/>
    <w:rsid w:val="0025667D"/>
    <w:rsid w:val="002804D9"/>
    <w:rsid w:val="002A4BD0"/>
    <w:rsid w:val="00306D13"/>
    <w:rsid w:val="00341569"/>
    <w:rsid w:val="00367DA3"/>
    <w:rsid w:val="00384321"/>
    <w:rsid w:val="003B09E3"/>
    <w:rsid w:val="00406D31"/>
    <w:rsid w:val="0044543C"/>
    <w:rsid w:val="004578F8"/>
    <w:rsid w:val="00460EC7"/>
    <w:rsid w:val="00463816"/>
    <w:rsid w:val="00481E90"/>
    <w:rsid w:val="004A1413"/>
    <w:rsid w:val="004A3056"/>
    <w:rsid w:val="00507ADA"/>
    <w:rsid w:val="005333BA"/>
    <w:rsid w:val="0054579A"/>
    <w:rsid w:val="00572181"/>
    <w:rsid w:val="00574C72"/>
    <w:rsid w:val="005C07FE"/>
    <w:rsid w:val="005E2B64"/>
    <w:rsid w:val="00611986"/>
    <w:rsid w:val="00663D18"/>
    <w:rsid w:val="00682D42"/>
    <w:rsid w:val="006B0D7B"/>
    <w:rsid w:val="006B28CA"/>
    <w:rsid w:val="006D5E93"/>
    <w:rsid w:val="006F26FA"/>
    <w:rsid w:val="007120EF"/>
    <w:rsid w:val="00720D08"/>
    <w:rsid w:val="007406CA"/>
    <w:rsid w:val="0075176E"/>
    <w:rsid w:val="007570C2"/>
    <w:rsid w:val="00782FC1"/>
    <w:rsid w:val="008545F8"/>
    <w:rsid w:val="008A706C"/>
    <w:rsid w:val="008B737A"/>
    <w:rsid w:val="008F4326"/>
    <w:rsid w:val="00911283"/>
    <w:rsid w:val="00922FBD"/>
    <w:rsid w:val="00943FD3"/>
    <w:rsid w:val="00965B7F"/>
    <w:rsid w:val="00A514AE"/>
    <w:rsid w:val="00A53F9A"/>
    <w:rsid w:val="00A80162"/>
    <w:rsid w:val="00AC38D6"/>
    <w:rsid w:val="00B5794D"/>
    <w:rsid w:val="00B91095"/>
    <w:rsid w:val="00BC2E7E"/>
    <w:rsid w:val="00BC7028"/>
    <w:rsid w:val="00BE770F"/>
    <w:rsid w:val="00BF0D57"/>
    <w:rsid w:val="00BF68C6"/>
    <w:rsid w:val="00C03B05"/>
    <w:rsid w:val="00CF12A3"/>
    <w:rsid w:val="00D807BF"/>
    <w:rsid w:val="00D85613"/>
    <w:rsid w:val="00DA29CC"/>
    <w:rsid w:val="00DB4CAE"/>
    <w:rsid w:val="00DE60C4"/>
    <w:rsid w:val="00E141D0"/>
    <w:rsid w:val="00E24C9A"/>
    <w:rsid w:val="00E26263"/>
    <w:rsid w:val="00E308A7"/>
    <w:rsid w:val="00E3634E"/>
    <w:rsid w:val="00E56F4A"/>
    <w:rsid w:val="00E92638"/>
    <w:rsid w:val="00EB23B3"/>
    <w:rsid w:val="00F50877"/>
    <w:rsid w:val="00F55B2B"/>
    <w:rsid w:val="00FB1A01"/>
    <w:rsid w:val="00FD6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7D6AB"/>
  <w15:docId w15:val="{50A7ACEB-4F6E-4E67-931F-2076D1D3A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character" w:customStyle="1" w:styleId="fontstyle01">
    <w:name w:val="fontstyle01"/>
    <w:basedOn w:val="a0"/>
    <w:rPr>
      <w:rFonts w:ascii="Coloproctology-Regular" w:hAnsi="Coloproctology-Regular" w:hint="default"/>
      <w:b w:val="0"/>
      <w:bCs w:val="0"/>
      <w:i w:val="0"/>
      <w:iCs w:val="0"/>
      <w:color w:val="242021"/>
      <w:sz w:val="20"/>
      <w:szCs w:val="20"/>
    </w:rPr>
  </w:style>
  <w:style w:type="character" w:customStyle="1" w:styleId="fontstyle21">
    <w:name w:val="fontstyle21"/>
    <w:basedOn w:val="a0"/>
    <w:rPr>
      <w:rFonts w:ascii="Coloproctology-Bold" w:hAnsi="Coloproctology-Bold" w:hint="default"/>
      <w:b/>
      <w:bCs/>
      <w:i w:val="0"/>
      <w:iCs w:val="0"/>
      <w:color w:val="242021"/>
      <w:sz w:val="20"/>
      <w:szCs w:val="20"/>
    </w:rPr>
  </w:style>
  <w:style w:type="character" w:customStyle="1" w:styleId="fontstyle31">
    <w:name w:val="fontstyle31"/>
    <w:basedOn w:val="a0"/>
    <w:rPr>
      <w:rFonts w:ascii="Coloproctology-Italic" w:hAnsi="Coloproctology-Italic" w:hint="default"/>
      <w:b w:val="0"/>
      <w:bCs w:val="0"/>
      <w:i/>
      <w:iCs/>
      <w:color w:val="242021"/>
      <w:sz w:val="20"/>
      <w:szCs w:val="20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5">
    <w:name w:val="Emphasis"/>
    <w:basedOn w:val="a0"/>
    <w:uiPriority w:val="20"/>
    <w:qFormat/>
    <w:rPr>
      <w:i/>
      <w:iCs/>
    </w:rPr>
  </w:style>
  <w:style w:type="character" w:customStyle="1" w:styleId="40">
    <w:name w:val="Заголовок 4 Знак"/>
    <w:basedOn w:val="a0"/>
    <w:link w:val="4"/>
    <w:uiPriority w:val="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unhideWhenUsed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0"/>
      <w:szCs w:val="20"/>
      <w:lang w:eastAsia="ru-RU" w:bidi="ru-RU"/>
    </w:rPr>
  </w:style>
  <w:style w:type="character" w:customStyle="1" w:styleId="af7">
    <w:name w:val="Текст сноски Знак"/>
    <w:basedOn w:val="a0"/>
    <w:link w:val="af6"/>
    <w:uiPriority w:val="99"/>
    <w:rPr>
      <w:rFonts w:ascii="Microsoft Sans Serif" w:eastAsia="Microsoft Sans Serif" w:hAnsi="Microsoft Sans Serif" w:cs="Microsoft Sans Serif"/>
      <w:color w:val="000000"/>
      <w:sz w:val="20"/>
      <w:szCs w:val="20"/>
      <w:lang w:eastAsia="ru-RU" w:bidi="ru-RU"/>
    </w:rPr>
  </w:style>
  <w:style w:type="character" w:styleId="af8">
    <w:name w:val="footnote reference"/>
    <w:basedOn w:val="a0"/>
    <w:uiPriority w:val="99"/>
    <w:semiHidden/>
    <w:unhideWhenUsed/>
    <w:rPr>
      <w:vertAlign w:val="superscript"/>
    </w:rPr>
  </w:style>
  <w:style w:type="character" w:styleId="af9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character" w:customStyle="1" w:styleId="hl">
    <w:name w:val="hl"/>
    <w:basedOn w:val="a0"/>
  </w:style>
  <w:style w:type="paragraph" w:customStyle="1" w:styleId="c-article-titlesub">
    <w:name w:val="c-article-title__sub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annotation text"/>
    <w:basedOn w:val="a"/>
    <w:link w:val="afc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Pr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pPr>
      <w:widowControl w:val="0"/>
      <w:spacing w:after="0"/>
    </w:pPr>
    <w:rPr>
      <w:rFonts w:ascii="Microsoft Sans Serif" w:eastAsia="Microsoft Sans Serif" w:hAnsi="Microsoft Sans Serif" w:cs="Microsoft Sans Serif"/>
      <w:b/>
      <w:bCs/>
      <w:color w:val="000000"/>
      <w:lang w:eastAsia="ru-RU" w:bidi="ru-RU"/>
    </w:rPr>
  </w:style>
  <w:style w:type="character" w:customStyle="1" w:styleId="afe">
    <w:name w:val="Тема примечания Знак"/>
    <w:basedOn w:val="afc"/>
    <w:link w:val="afd"/>
    <w:uiPriority w:val="99"/>
    <w:semiHidden/>
    <w:rPr>
      <w:rFonts w:ascii="Microsoft Sans Serif" w:eastAsia="Microsoft Sans Serif" w:hAnsi="Microsoft Sans Serif" w:cs="Microsoft Sans Serif"/>
      <w:b/>
      <w:bCs/>
      <w:color w:val="000000"/>
      <w:sz w:val="20"/>
      <w:szCs w:val="20"/>
      <w:lang w:eastAsia="ru-RU" w:bidi="ru-RU"/>
    </w:rPr>
  </w:style>
  <w:style w:type="paragraph" w:styleId="aff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0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styleId="af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2">
    <w:name w:val="Revision"/>
    <w:hidden/>
    <w:uiPriority w:val="99"/>
    <w:semiHidden/>
    <w:pPr>
      <w:spacing w:after="0" w:line="240" w:lineRule="auto"/>
    </w:pPr>
  </w:style>
  <w:style w:type="paragraph" w:styleId="aff3">
    <w:name w:val="Balloon Text"/>
    <w:basedOn w:val="a"/>
    <w:link w:val="aff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4">
    <w:name w:val="Текст выноски Знак"/>
    <w:basedOn w:val="a0"/>
    <w:link w:val="aff3"/>
    <w:uiPriority w:val="99"/>
    <w:semiHidden/>
    <w:rPr>
      <w:rFonts w:ascii="Segoe UI" w:hAnsi="Segoe UI" w:cs="Segoe UI"/>
      <w:sz w:val="18"/>
      <w:szCs w:val="18"/>
    </w:rPr>
  </w:style>
  <w:style w:type="character" w:styleId="aff5">
    <w:name w:val="Unresolved Mention"/>
    <w:basedOn w:val="a0"/>
    <w:uiPriority w:val="99"/>
    <w:semiHidden/>
    <w:unhideWhenUsed/>
    <w:rsid w:val="005E2B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elibrary.ru/item.asp?id=4862219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klnran.ru/2017/02/memorandum02-homeopathy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library.ru/item.asp?id=2754296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i.org/10.1186/s12876-019-1143-5" TargetMode="External"/><Relationship Id="rId10" Type="http://schemas.openxmlformats.org/officeDocument/2006/relationships/hyperlink" Target="https://doi.org/10.33878/2073-7556-2022-21-1-10-2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library.ru/item.asp?id=21623803" TargetMode="External"/><Relationship Id="rId14" Type="http://schemas.openxmlformats.org/officeDocument/2006/relationships/hyperlink" Target="https://doi.org/10.1007/s00106-006-1480-x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nsultant.ru/document/cons_doc_LAW_409729" TargetMode="External"/><Relationship Id="rId7" Type="http://schemas.openxmlformats.org/officeDocument/2006/relationships/hyperlink" Target="https://diseases.medelement.com/disease/&#1086;&#1089;&#1090;&#1088;&#1099;&#1081;-&#1089;&#1080;&#1085;&#1091;&#1089;&#1080;&#1090;-&#1082;&#1088;-&#1088;&#1092;-2024/18274" TargetMode="External"/><Relationship Id="rId2" Type="http://schemas.openxmlformats.org/officeDocument/2006/relationships/hyperlink" Target="https://www.garant.ru/products/ipo/prime/doc/407555346/" TargetMode="External"/><Relationship Id="rId1" Type="http://schemas.openxmlformats.org/officeDocument/2006/relationships/hyperlink" Target="https://bigenc.ru/c/molekula-de7079" TargetMode="External"/><Relationship Id="rId6" Type="http://schemas.openxmlformats.org/officeDocument/2006/relationships/hyperlink" Target="https://diseases.medelement.com/disease/84-2021/16940" TargetMode="External"/><Relationship Id="rId5" Type="http://schemas.openxmlformats.org/officeDocument/2006/relationships/hyperlink" Target="https://cr.minzdrav.gov.ru/view-cr/892_1" TargetMode="External"/><Relationship Id="rId4" Type="http://schemas.openxmlformats.org/officeDocument/2006/relationships/hyperlink" Target="https://www.consultant.ru/document/cons_doc_LAW_3888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783A8-2990-40C2-98EE-A2111B14F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8</Pages>
  <Words>2864</Words>
  <Characters>16331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Alexander Sergeev</cp:lastModifiedBy>
  <cp:revision>13</cp:revision>
  <cp:lastPrinted>2025-05-19T11:26:00Z</cp:lastPrinted>
  <dcterms:created xsi:type="dcterms:W3CDTF">2025-05-19T09:53:00Z</dcterms:created>
  <dcterms:modified xsi:type="dcterms:W3CDTF">2025-05-19T16:32:00Z</dcterms:modified>
</cp:coreProperties>
</file>